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77735" w14:textId="77777777" w:rsidR="00D16E30" w:rsidRPr="00987DA0" w:rsidRDefault="00D16E30" w:rsidP="00D16E30">
      <w:pPr>
        <w:autoSpaceDE w:val="0"/>
        <w:autoSpaceDN w:val="0"/>
        <w:adjustRightInd w:val="0"/>
        <w:jc w:val="center"/>
        <w:rPr>
          <w:rFonts w:eastAsia="ArialNarrow,Bold"/>
          <w:b/>
          <w:bCs/>
          <w:color w:val="000000"/>
          <w:lang w:val="sr-Latn-BA"/>
        </w:rPr>
      </w:pPr>
      <w:r w:rsidRPr="00987DA0">
        <w:rPr>
          <w:rFonts w:eastAsia="ArialNarrow,Bold"/>
          <w:b/>
          <w:bCs/>
          <w:color w:val="000000"/>
          <w:lang w:val="sr-Latn-BA"/>
        </w:rPr>
        <w:t>PRVO PENZIONERSKO MIKROKREDITNO DRUŠTVO a.d. Banja Luka</w:t>
      </w:r>
    </w:p>
    <w:p w14:paraId="2444F8C2" w14:textId="4A38830C" w:rsidR="00D16E30" w:rsidRPr="00987DA0" w:rsidRDefault="00D16E30" w:rsidP="00D16E30">
      <w:pPr>
        <w:jc w:val="both"/>
        <w:rPr>
          <w:rFonts w:eastAsia="ArialNarrow"/>
          <w:color w:val="000000"/>
          <w:lang w:val="sr-Latn-BA"/>
        </w:rPr>
      </w:pPr>
      <w:r w:rsidRPr="00987DA0">
        <w:rPr>
          <w:rFonts w:eastAsia="ArialNarrow"/>
          <w:color w:val="000000"/>
          <w:lang w:val="sr-Latn-BA"/>
        </w:rPr>
        <w:t xml:space="preserve">Na osnovu člana 20. Statuta Prvog penzionerskog mikrokreditnog društva a.d. Banja Luka, Upravni odbor Prvog penzionerskog mikrokreditnog društva a.d. Banja Luka na svojoj sjednici održanoj </w:t>
      </w:r>
      <w:r w:rsidR="00E633DA" w:rsidRPr="00987DA0">
        <w:rPr>
          <w:rFonts w:eastAsia="ArialNarrow"/>
          <w:color w:val="000000"/>
          <w:lang w:val="sr-Latn-BA"/>
        </w:rPr>
        <w:t>11</w:t>
      </w:r>
      <w:r w:rsidR="00433B80" w:rsidRPr="00987DA0">
        <w:rPr>
          <w:rFonts w:eastAsia="ArialNarrow"/>
          <w:color w:val="000000"/>
          <w:lang w:val="sr-Latn-BA"/>
        </w:rPr>
        <w:t>.04</w:t>
      </w:r>
      <w:r w:rsidR="00F00C15" w:rsidRPr="00987DA0">
        <w:rPr>
          <w:rFonts w:eastAsia="ArialNarrow"/>
          <w:color w:val="000000"/>
          <w:lang w:val="sr-Latn-BA"/>
        </w:rPr>
        <w:t>.202</w:t>
      </w:r>
      <w:r w:rsidR="00E633DA" w:rsidRPr="00987DA0">
        <w:rPr>
          <w:rFonts w:eastAsia="ArialNarrow"/>
          <w:color w:val="000000"/>
          <w:lang w:val="sr-Latn-BA"/>
        </w:rPr>
        <w:t>5</w:t>
      </w:r>
      <w:r w:rsidRPr="00987DA0">
        <w:rPr>
          <w:rFonts w:eastAsia="ArialNarrow"/>
          <w:color w:val="000000"/>
          <w:lang w:val="sr-Latn-BA"/>
        </w:rPr>
        <w:t>. godine donosi</w:t>
      </w:r>
    </w:p>
    <w:p w14:paraId="0507EF6A" w14:textId="77777777" w:rsidR="00D16E30" w:rsidRPr="00987DA0" w:rsidRDefault="00D16E30" w:rsidP="00D16E30">
      <w:pPr>
        <w:jc w:val="both"/>
        <w:rPr>
          <w:rFonts w:eastAsia="ArialNarrow"/>
          <w:color w:val="000000"/>
          <w:lang w:val="sr-Latn-BA"/>
        </w:rPr>
      </w:pPr>
    </w:p>
    <w:p w14:paraId="1C786D2F" w14:textId="77777777" w:rsidR="00D16E30" w:rsidRPr="00987DA0" w:rsidRDefault="00D16E30" w:rsidP="00D16E30">
      <w:pPr>
        <w:jc w:val="both"/>
        <w:rPr>
          <w:rFonts w:eastAsia="ArialNarrow"/>
          <w:color w:val="000000"/>
          <w:lang w:val="sr-Latn-BA"/>
        </w:rPr>
      </w:pPr>
    </w:p>
    <w:p w14:paraId="530155FA" w14:textId="77777777" w:rsidR="00D16E30" w:rsidRPr="00987DA0" w:rsidRDefault="00D16E30" w:rsidP="00D16E30">
      <w:pPr>
        <w:jc w:val="both"/>
        <w:rPr>
          <w:rFonts w:eastAsia="ArialNarrow"/>
          <w:color w:val="000000"/>
          <w:lang w:val="sr-Latn-BA"/>
        </w:rPr>
      </w:pPr>
    </w:p>
    <w:p w14:paraId="598D2754" w14:textId="77777777" w:rsidR="00D463EE" w:rsidRPr="00987DA0" w:rsidRDefault="00D463EE" w:rsidP="00E6484A">
      <w:pPr>
        <w:jc w:val="center"/>
        <w:rPr>
          <w:b/>
          <w:bCs/>
          <w:lang w:val="sl-SI"/>
        </w:rPr>
      </w:pPr>
      <w:r w:rsidRPr="00987DA0">
        <w:rPr>
          <w:b/>
          <w:bCs/>
          <w:lang w:val="sl-SI"/>
        </w:rPr>
        <w:t>PRIJEDLOG ODLUKE</w:t>
      </w:r>
    </w:p>
    <w:p w14:paraId="5931FCBF" w14:textId="4C57EA10" w:rsidR="00D463EE" w:rsidRPr="00987DA0" w:rsidRDefault="00E37F1C" w:rsidP="00E6484A">
      <w:pPr>
        <w:pStyle w:val="NormalWeb"/>
        <w:shd w:val="clear" w:color="auto" w:fill="FFFFFF"/>
        <w:spacing w:before="0" w:beforeAutospacing="0" w:after="120" w:afterAutospacing="0"/>
        <w:jc w:val="center"/>
      </w:pPr>
      <w:r w:rsidRPr="00987DA0">
        <w:rPr>
          <w:b/>
          <w:bCs/>
        </w:rPr>
        <w:t xml:space="preserve">o </w:t>
      </w:r>
      <w:r w:rsidR="00743BBE" w:rsidRPr="00987DA0">
        <w:rPr>
          <w:b/>
          <w:bCs/>
        </w:rPr>
        <w:t xml:space="preserve">II emisiji </w:t>
      </w:r>
      <w:r w:rsidR="00146B30" w:rsidRPr="00987DA0">
        <w:rPr>
          <w:b/>
          <w:bCs/>
        </w:rPr>
        <w:t xml:space="preserve"> redovnih (običnih) </w:t>
      </w:r>
      <w:r w:rsidR="00743BBE" w:rsidRPr="00987DA0">
        <w:rPr>
          <w:b/>
          <w:bCs/>
        </w:rPr>
        <w:t>akcija</w:t>
      </w:r>
      <w:r w:rsidR="00146B30" w:rsidRPr="00987DA0">
        <w:rPr>
          <w:b/>
          <w:bCs/>
        </w:rPr>
        <w:t xml:space="preserve"> javnom ponudom</w:t>
      </w:r>
    </w:p>
    <w:p w14:paraId="157B4754" w14:textId="77777777" w:rsidR="00D463EE" w:rsidRPr="00987DA0" w:rsidRDefault="00D463EE" w:rsidP="00D463EE">
      <w:pPr>
        <w:pStyle w:val="BodyText2"/>
        <w:spacing w:line="276" w:lineRule="auto"/>
        <w:jc w:val="left"/>
        <w:rPr>
          <w:rFonts w:ascii="Times New Roman" w:hAnsi="Times New Roman" w:cs="Times New Roman"/>
          <w:color w:val="FF0000"/>
          <w:sz w:val="24"/>
        </w:rPr>
      </w:pPr>
    </w:p>
    <w:p w14:paraId="356C2F11" w14:textId="77777777" w:rsidR="00D463EE" w:rsidRPr="00987DA0" w:rsidRDefault="00D463EE" w:rsidP="00D463EE">
      <w:pPr>
        <w:pStyle w:val="BodyText2"/>
        <w:spacing w:line="276" w:lineRule="auto"/>
        <w:jc w:val="left"/>
        <w:rPr>
          <w:rFonts w:ascii="Times New Roman" w:hAnsi="Times New Roman" w:cs="Times New Roman"/>
          <w:color w:val="FF0000"/>
          <w:sz w:val="24"/>
        </w:rPr>
      </w:pPr>
    </w:p>
    <w:p w14:paraId="40E663D6" w14:textId="77777777" w:rsidR="00987DA0" w:rsidRPr="00987DA0" w:rsidRDefault="00987DA0" w:rsidP="00987DA0">
      <w:pPr>
        <w:pStyle w:val="ListParagraph"/>
        <w:numPr>
          <w:ilvl w:val="0"/>
          <w:numId w:val="11"/>
        </w:numPr>
        <w:jc w:val="center"/>
        <w:rPr>
          <w:rFonts w:ascii="Times New Roman" w:hAnsi="Times New Roman" w:cs="Times New Roman"/>
          <w:b/>
          <w:lang w:val="sr-Latn-CS"/>
        </w:rPr>
      </w:pPr>
    </w:p>
    <w:p w14:paraId="6190ECCF" w14:textId="3AA59B35" w:rsidR="00987DA0" w:rsidRPr="00987DA0" w:rsidRDefault="00987DA0" w:rsidP="00987DA0">
      <w:pPr>
        <w:ind w:right="11"/>
        <w:jc w:val="both"/>
        <w:rPr>
          <w:b/>
          <w:lang w:val="sr-Latn-BA"/>
        </w:rPr>
      </w:pPr>
      <w:r w:rsidRPr="00987DA0">
        <w:rPr>
          <w:lang w:val="sr-Latn-BA"/>
        </w:rPr>
        <w:t xml:space="preserve">Ovom Odlukom reguliše se postupak </w:t>
      </w:r>
      <w:r>
        <w:rPr>
          <w:lang w:val="sr-Latn-BA"/>
        </w:rPr>
        <w:t>II (druge)</w:t>
      </w:r>
      <w:r w:rsidRPr="00987DA0">
        <w:rPr>
          <w:lang w:val="sr-Latn-BA"/>
        </w:rPr>
        <w:t xml:space="preserve"> emisije redovnih (običnih) akcija, javnom ponudom emitenta</w:t>
      </w:r>
      <w:r w:rsidRPr="00987DA0">
        <w:t xml:space="preserve"> PRVO PENZIONERSKO MIKROKREDITNO DRUŠTVO a.d. Banja Luka</w:t>
      </w:r>
      <w:r>
        <w:t>.</w:t>
      </w:r>
    </w:p>
    <w:p w14:paraId="0FD99E1D" w14:textId="77777777" w:rsidR="00987DA0" w:rsidRPr="00987DA0" w:rsidRDefault="00987DA0" w:rsidP="00987DA0">
      <w:pPr>
        <w:rPr>
          <w:bCs/>
          <w:lang w:val="sr-Latn-BA"/>
        </w:rPr>
      </w:pPr>
    </w:p>
    <w:p w14:paraId="2A937B01" w14:textId="77777777" w:rsidR="00987DA0" w:rsidRPr="00987DA0" w:rsidRDefault="00987DA0" w:rsidP="00987DA0">
      <w:pPr>
        <w:pStyle w:val="ListParagraph"/>
        <w:numPr>
          <w:ilvl w:val="0"/>
          <w:numId w:val="11"/>
        </w:numPr>
        <w:jc w:val="center"/>
        <w:rPr>
          <w:rFonts w:ascii="Times New Roman" w:hAnsi="Times New Roman" w:cs="Times New Roman"/>
          <w:bCs/>
        </w:rPr>
      </w:pPr>
      <w:r w:rsidRPr="00987DA0">
        <w:rPr>
          <w:rFonts w:ascii="Times New Roman" w:hAnsi="Times New Roman" w:cs="Times New Roman"/>
          <w:bCs/>
        </w:rPr>
        <w:t xml:space="preserve"> </w:t>
      </w:r>
    </w:p>
    <w:p w14:paraId="76E29F3D" w14:textId="39176FD7" w:rsidR="00987DA0" w:rsidRPr="00987DA0" w:rsidRDefault="00987DA0" w:rsidP="00987DA0">
      <w:pPr>
        <w:spacing w:after="240"/>
        <w:ind w:right="11"/>
        <w:jc w:val="both"/>
        <w:rPr>
          <w:b/>
          <w:lang w:val="sr-Latn-BA"/>
        </w:rPr>
      </w:pPr>
      <w:r w:rsidRPr="00987DA0">
        <w:rPr>
          <w:lang w:val="sr-Latn-BA"/>
        </w:rPr>
        <w:t>Emitent akcija j</w:t>
      </w:r>
      <w:r>
        <w:rPr>
          <w:lang w:val="sr-Latn-BA"/>
        </w:rPr>
        <w:t xml:space="preserve">e </w:t>
      </w:r>
      <w:r w:rsidRPr="00987DA0">
        <w:t>„PRVO PENZIONERSKO MIKROKREDITNO DRUŠTVO a.d. Banja Luka (u daljem tekstu: Emitent)</w:t>
      </w:r>
      <w:r w:rsidRPr="00987DA0">
        <w:rPr>
          <w:lang w:val="sr-Latn-BA"/>
        </w:rPr>
        <w:t xml:space="preserve">, sa sjedištem u </w:t>
      </w:r>
      <w:r>
        <w:rPr>
          <w:lang w:val="sr-Latn-BA"/>
        </w:rPr>
        <w:t>Banjoj Luci</w:t>
      </w:r>
      <w:r w:rsidRPr="00987DA0">
        <w:rPr>
          <w:lang w:val="sr-Latn-BA"/>
        </w:rPr>
        <w:t>, Kralja Petra I Karađorđevića 66.</w:t>
      </w:r>
    </w:p>
    <w:p w14:paraId="6F03EB1B" w14:textId="0C6658A2" w:rsidR="00987DA0" w:rsidRPr="00987DA0" w:rsidRDefault="00987DA0" w:rsidP="00987DA0">
      <w:pPr>
        <w:ind w:right="11"/>
        <w:jc w:val="both"/>
        <w:rPr>
          <w:b/>
          <w:lang w:val="sr-Latn-BA"/>
        </w:rPr>
      </w:pPr>
      <w:r w:rsidRPr="00987DA0">
        <w:rPr>
          <w:lang w:val="sr-Latn-BA"/>
        </w:rPr>
        <w:t>Emitent je upisan u Registar emitenata kod Komisije za hartije od vrijednosti Republike Srpske, pod oznakom P</w:t>
      </w:r>
      <w:r>
        <w:rPr>
          <w:lang w:val="sr-Latn-BA"/>
        </w:rPr>
        <w:t>PMK</w:t>
      </w:r>
      <w:r w:rsidRPr="00987DA0">
        <w:rPr>
          <w:lang w:val="sr-Latn-BA"/>
        </w:rPr>
        <w:t xml:space="preserve"> i registarskim brojem: 04-908-71/20.</w:t>
      </w:r>
    </w:p>
    <w:p w14:paraId="045F6612" w14:textId="77777777" w:rsidR="00987DA0" w:rsidRPr="00987DA0" w:rsidRDefault="00987DA0" w:rsidP="00987DA0">
      <w:pPr>
        <w:ind w:right="11"/>
        <w:jc w:val="both"/>
        <w:rPr>
          <w:b/>
          <w:lang w:val="sr-Latn-BA"/>
        </w:rPr>
      </w:pPr>
    </w:p>
    <w:p w14:paraId="5ADB6C5F" w14:textId="77777777" w:rsidR="00987DA0" w:rsidRPr="00987DA0" w:rsidRDefault="00987DA0" w:rsidP="00987DA0">
      <w:pPr>
        <w:pStyle w:val="ListParagraph"/>
        <w:numPr>
          <w:ilvl w:val="0"/>
          <w:numId w:val="11"/>
        </w:numPr>
        <w:ind w:right="11"/>
        <w:jc w:val="center"/>
        <w:rPr>
          <w:rFonts w:ascii="Times New Roman" w:hAnsi="Times New Roman" w:cs="Times New Roman"/>
          <w:b/>
        </w:rPr>
      </w:pPr>
    </w:p>
    <w:p w14:paraId="2ED95C51" w14:textId="7D5A4B97" w:rsidR="00987DA0" w:rsidRPr="00987DA0" w:rsidRDefault="00987DA0" w:rsidP="00987DA0">
      <w:pPr>
        <w:ind w:right="11"/>
        <w:jc w:val="both"/>
        <w:rPr>
          <w:b/>
          <w:lang w:val="sr-Latn-BA"/>
        </w:rPr>
      </w:pPr>
      <w:r>
        <w:rPr>
          <w:lang w:val="sr-Latn-BA"/>
        </w:rPr>
        <w:t>Drugom</w:t>
      </w:r>
      <w:r w:rsidRPr="00987DA0">
        <w:rPr>
          <w:lang w:val="sr-Latn-BA"/>
        </w:rPr>
        <w:t xml:space="preserve"> emisijom običnih (redovnih) akcija, javnom ponudom Emitent emituje </w:t>
      </w:r>
      <w:r>
        <w:rPr>
          <w:lang w:val="sr-Latn-BA"/>
        </w:rPr>
        <w:t xml:space="preserve">600.000 </w:t>
      </w:r>
      <w:r w:rsidRPr="00987DA0">
        <w:rPr>
          <w:lang w:val="sr-Latn-BA"/>
        </w:rPr>
        <w:t xml:space="preserve">redovnih (običnih) akcija, klase „A“, nominalne vrijednosti 1,00 KM po akciji, ukupne nominalne vrijednosti </w:t>
      </w:r>
      <w:r>
        <w:rPr>
          <w:lang w:val="sr-Latn-BA"/>
        </w:rPr>
        <w:t>600.000,00</w:t>
      </w:r>
      <w:r w:rsidRPr="00987DA0">
        <w:rPr>
          <w:lang w:val="sr-Latn-BA"/>
        </w:rPr>
        <w:t xml:space="preserve"> KM.</w:t>
      </w:r>
    </w:p>
    <w:p w14:paraId="63B7672A" w14:textId="77777777" w:rsidR="00987DA0" w:rsidRPr="00987DA0" w:rsidRDefault="00987DA0" w:rsidP="00987DA0">
      <w:pPr>
        <w:ind w:right="11"/>
        <w:rPr>
          <w:b/>
          <w:lang w:val="sr-Latn-BA"/>
        </w:rPr>
      </w:pPr>
    </w:p>
    <w:p w14:paraId="0DFDAB00" w14:textId="77777777" w:rsidR="00987DA0" w:rsidRPr="00987DA0" w:rsidRDefault="00987DA0" w:rsidP="00987DA0">
      <w:pPr>
        <w:pStyle w:val="ListParagraph"/>
        <w:numPr>
          <w:ilvl w:val="0"/>
          <w:numId w:val="11"/>
        </w:numPr>
        <w:ind w:right="11"/>
        <w:jc w:val="center"/>
        <w:rPr>
          <w:rFonts w:ascii="Times New Roman" w:hAnsi="Times New Roman" w:cs="Times New Roman"/>
          <w:b/>
        </w:rPr>
      </w:pPr>
      <w:r w:rsidRPr="00987DA0">
        <w:rPr>
          <w:rFonts w:ascii="Times New Roman" w:hAnsi="Times New Roman" w:cs="Times New Roman"/>
        </w:rPr>
        <w:t xml:space="preserve">  </w:t>
      </w:r>
    </w:p>
    <w:p w14:paraId="7F5E12EB" w14:textId="77777777" w:rsidR="005B0844" w:rsidRDefault="00987DA0" w:rsidP="00987DA0">
      <w:pPr>
        <w:ind w:right="11"/>
        <w:jc w:val="both"/>
      </w:pPr>
      <w:r w:rsidRPr="00987DA0">
        <w:rPr>
          <w:lang w:val="sr-Latn-BA"/>
        </w:rPr>
        <w:t xml:space="preserve">Emitent je do donošenja ove Odluke </w:t>
      </w:r>
      <w:r w:rsidRPr="00987DA0">
        <w:t xml:space="preserve">emitovao </w:t>
      </w:r>
      <w:r>
        <w:rPr>
          <w:color w:val="000000"/>
          <w:lang w:val="sr-Latn-BA"/>
        </w:rPr>
        <w:t>jednu</w:t>
      </w:r>
      <w:r w:rsidRPr="00987DA0">
        <w:rPr>
          <w:color w:val="000000"/>
          <w:lang w:val="sr-Latn-BA"/>
        </w:rPr>
        <w:t xml:space="preserve"> emisij</w:t>
      </w:r>
      <w:r w:rsidR="00161CD8">
        <w:rPr>
          <w:color w:val="000000"/>
          <w:lang w:val="sr-Latn-BA"/>
        </w:rPr>
        <w:t>u</w:t>
      </w:r>
      <w:r w:rsidRPr="00987DA0">
        <w:rPr>
          <w:color w:val="000000"/>
          <w:lang w:val="sr-Latn-BA"/>
        </w:rPr>
        <w:t xml:space="preserve"> </w:t>
      </w:r>
      <w:r w:rsidRPr="00987DA0">
        <w:t>i to</w:t>
      </w:r>
      <w:r w:rsidR="005B0844">
        <w:t>:</w:t>
      </w:r>
    </w:p>
    <w:p w14:paraId="5795D253" w14:textId="29554409" w:rsidR="00987DA0" w:rsidRPr="00987DA0" w:rsidRDefault="00987DA0" w:rsidP="005B0844">
      <w:pPr>
        <w:numPr>
          <w:ilvl w:val="0"/>
          <w:numId w:val="17"/>
        </w:numPr>
        <w:ind w:right="11"/>
        <w:jc w:val="both"/>
      </w:pPr>
      <w:r>
        <w:t>e</w:t>
      </w:r>
      <w:r w:rsidRPr="00987DA0">
        <w:t>misij</w:t>
      </w:r>
      <w:r w:rsidR="005B0844">
        <w:t>a</w:t>
      </w:r>
      <w:r w:rsidRPr="00987DA0">
        <w:t xml:space="preserve"> bez obaveze objavljivanja prospekta - simultano osnivanje akcionarskog društva</w:t>
      </w:r>
      <w:r w:rsidR="00E42DDA">
        <w:t>:</w:t>
      </w:r>
      <w:r>
        <w:t xml:space="preserve"> 500.000</w:t>
      </w:r>
      <w:r w:rsidRPr="00987DA0">
        <w:t xml:space="preserve"> redovnih (običnih) akcija iz prve emisije, klase „A“, koje glase na ime, sa pravom glasa, pojedinačne nominalne vrijednosti 1,00 KM, u ukupnom iznosu </w:t>
      </w:r>
      <w:r>
        <w:t>500.000</w:t>
      </w:r>
      <w:r w:rsidRPr="00987DA0">
        <w:t xml:space="preserve"> KM</w:t>
      </w:r>
      <w:r>
        <w:t xml:space="preserve"> prilikom promjene pravne forme Emitenta u otvoreno akcionarsko društvo.</w:t>
      </w:r>
    </w:p>
    <w:p w14:paraId="29B2A441" w14:textId="77777777" w:rsidR="00987DA0" w:rsidRPr="00987DA0" w:rsidRDefault="00987DA0" w:rsidP="00987DA0">
      <w:pPr>
        <w:ind w:right="11"/>
        <w:jc w:val="both"/>
      </w:pPr>
    </w:p>
    <w:p w14:paraId="07E03581" w14:textId="39EFD2FE" w:rsidR="00987DA0" w:rsidRDefault="00987DA0" w:rsidP="00987DA0">
      <w:pPr>
        <w:shd w:val="clear" w:color="auto" w:fill="FFFFFF"/>
        <w:ind w:right="11"/>
        <w:jc w:val="both"/>
        <w:rPr>
          <w:lang w:val="sr-Latn-BA"/>
        </w:rPr>
      </w:pPr>
      <w:r w:rsidRPr="00987DA0">
        <w:rPr>
          <w:lang w:val="sr-Latn-BA"/>
        </w:rPr>
        <w:t xml:space="preserve">Osnovni kapital Emitenta upisan u sudski registar kod Okružnog privrednog suda u </w:t>
      </w:r>
      <w:r>
        <w:rPr>
          <w:lang w:val="sr-Latn-BA"/>
        </w:rPr>
        <w:t>Banjoj Luci</w:t>
      </w:r>
      <w:r w:rsidRPr="00987DA0">
        <w:rPr>
          <w:lang w:val="sr-Latn-BA"/>
        </w:rPr>
        <w:t xml:space="preserve"> iznosi </w:t>
      </w:r>
      <w:r>
        <w:rPr>
          <w:lang w:val="sr-Latn-BA"/>
        </w:rPr>
        <w:t>500.000</w:t>
      </w:r>
      <w:r w:rsidRPr="00987DA0">
        <w:rPr>
          <w:lang w:val="sr-Latn-BA"/>
        </w:rPr>
        <w:t xml:space="preserve"> KM i sastoji se </w:t>
      </w:r>
      <w:r>
        <w:rPr>
          <w:lang w:val="sr-Latn-BA"/>
        </w:rPr>
        <w:t>500.000</w:t>
      </w:r>
      <w:r w:rsidRPr="00987DA0">
        <w:rPr>
          <w:lang w:val="sr-Latn-BA"/>
        </w:rPr>
        <w:t xml:space="preserve"> redovnih (običnih) akcija, pojedinačne nominalne vrijednosti 1 KM po akciji, klase „A“.</w:t>
      </w:r>
    </w:p>
    <w:p w14:paraId="50359364" w14:textId="77777777" w:rsidR="0091658B" w:rsidRPr="00987DA0" w:rsidRDefault="0091658B" w:rsidP="00987DA0">
      <w:pPr>
        <w:shd w:val="clear" w:color="auto" w:fill="FFFFFF"/>
        <w:ind w:right="11"/>
        <w:jc w:val="both"/>
        <w:rPr>
          <w:b/>
          <w:lang w:val="sr-Latn-BA"/>
        </w:rPr>
      </w:pPr>
    </w:p>
    <w:p w14:paraId="3F714239" w14:textId="77777777" w:rsidR="00987DA0" w:rsidRPr="00987DA0" w:rsidRDefault="00987DA0" w:rsidP="00987DA0">
      <w:pPr>
        <w:pStyle w:val="ListParagraph"/>
        <w:numPr>
          <w:ilvl w:val="0"/>
          <w:numId w:val="11"/>
        </w:numPr>
        <w:ind w:right="11"/>
        <w:jc w:val="center"/>
        <w:rPr>
          <w:rFonts w:ascii="Times New Roman" w:hAnsi="Times New Roman" w:cs="Times New Roman"/>
          <w:b/>
        </w:rPr>
      </w:pPr>
      <w:r w:rsidRPr="00987DA0">
        <w:rPr>
          <w:rFonts w:ascii="Times New Roman" w:hAnsi="Times New Roman" w:cs="Times New Roman"/>
        </w:rPr>
        <w:t xml:space="preserve"> </w:t>
      </w:r>
    </w:p>
    <w:p w14:paraId="77064C8F" w14:textId="435F932F" w:rsidR="00987DA0" w:rsidRPr="00987DA0" w:rsidRDefault="00987DA0" w:rsidP="00987DA0">
      <w:pPr>
        <w:ind w:right="11"/>
        <w:jc w:val="both"/>
        <w:rPr>
          <w:lang w:val="sr-Latn-BA"/>
        </w:rPr>
      </w:pPr>
      <w:r w:rsidRPr="00987DA0">
        <w:rPr>
          <w:lang w:val="sr-Latn-BA"/>
        </w:rPr>
        <w:t xml:space="preserve">Ovom Odlukom emituje se </w:t>
      </w:r>
      <w:r>
        <w:rPr>
          <w:lang w:val="sr-Latn-BA"/>
        </w:rPr>
        <w:t>II</w:t>
      </w:r>
      <w:r w:rsidRPr="00987DA0">
        <w:rPr>
          <w:lang w:val="sr-Latn-BA"/>
        </w:rPr>
        <w:t xml:space="preserve"> (</w:t>
      </w:r>
      <w:r>
        <w:rPr>
          <w:lang w:val="sr-Latn-BA"/>
        </w:rPr>
        <w:t>druga</w:t>
      </w:r>
      <w:r w:rsidRPr="00987DA0">
        <w:rPr>
          <w:lang w:val="sr-Latn-BA"/>
        </w:rPr>
        <w:t>) emisija redovnih (običnih) akcija, klase „A“, sa pravom glasa, koje glase na ime.</w:t>
      </w:r>
    </w:p>
    <w:p w14:paraId="47B41192" w14:textId="77777777" w:rsidR="00987DA0" w:rsidRPr="00987DA0" w:rsidRDefault="00987DA0" w:rsidP="00987DA0">
      <w:pPr>
        <w:ind w:right="11"/>
        <w:jc w:val="both"/>
        <w:rPr>
          <w:b/>
          <w:lang w:val="sr-Latn-BA"/>
        </w:rPr>
      </w:pPr>
    </w:p>
    <w:p w14:paraId="6212DF2F" w14:textId="77777777" w:rsidR="00987DA0" w:rsidRPr="00987DA0" w:rsidRDefault="00987DA0" w:rsidP="00987DA0">
      <w:pPr>
        <w:shd w:val="clear" w:color="auto" w:fill="FFFFFF"/>
        <w:ind w:right="11"/>
        <w:jc w:val="both"/>
        <w:rPr>
          <w:b/>
        </w:rPr>
      </w:pPr>
      <w:r w:rsidRPr="00987DA0">
        <w:rPr>
          <w:lang w:val="sr-Latn-BA"/>
        </w:rPr>
        <w:t>Pojedinačna prava iz hartija od vrijednosti - CFI kod je ESVUFR</w:t>
      </w:r>
      <w:r w:rsidRPr="00987DA0">
        <w:t xml:space="preserve"> što znači da Emitent emituje:</w:t>
      </w:r>
    </w:p>
    <w:p w14:paraId="0909036A" w14:textId="77777777" w:rsidR="00987DA0" w:rsidRPr="00987DA0" w:rsidRDefault="00987DA0" w:rsidP="00987DA0">
      <w:pPr>
        <w:pStyle w:val="ListParagraph"/>
        <w:numPr>
          <w:ilvl w:val="0"/>
          <w:numId w:val="12"/>
        </w:numPr>
        <w:ind w:right="11"/>
        <w:jc w:val="left"/>
        <w:rPr>
          <w:rFonts w:ascii="Times New Roman" w:hAnsi="Times New Roman" w:cs="Times New Roman"/>
          <w:b/>
        </w:rPr>
      </w:pPr>
      <w:r w:rsidRPr="00987DA0">
        <w:rPr>
          <w:rFonts w:ascii="Times New Roman" w:hAnsi="Times New Roman" w:cs="Times New Roman"/>
        </w:rPr>
        <w:t>Vlasničke hartije od vrijednosti (E – Equities)</w:t>
      </w:r>
    </w:p>
    <w:p w14:paraId="39D4BE38" w14:textId="77777777" w:rsidR="00987DA0" w:rsidRPr="00987DA0" w:rsidRDefault="00987DA0" w:rsidP="00987DA0">
      <w:pPr>
        <w:pStyle w:val="ListParagraph"/>
        <w:numPr>
          <w:ilvl w:val="0"/>
          <w:numId w:val="12"/>
        </w:numPr>
        <w:ind w:right="11"/>
        <w:jc w:val="left"/>
        <w:rPr>
          <w:rFonts w:ascii="Times New Roman" w:hAnsi="Times New Roman" w:cs="Times New Roman"/>
          <w:b/>
        </w:rPr>
      </w:pPr>
      <w:r w:rsidRPr="00987DA0">
        <w:rPr>
          <w:rFonts w:ascii="Times New Roman" w:hAnsi="Times New Roman" w:cs="Times New Roman"/>
        </w:rPr>
        <w:t>Redovne (obične) akcije (S – Shares)</w:t>
      </w:r>
    </w:p>
    <w:p w14:paraId="3192337A" w14:textId="77777777" w:rsidR="00987DA0" w:rsidRPr="00987DA0" w:rsidRDefault="00987DA0" w:rsidP="00987DA0">
      <w:pPr>
        <w:pStyle w:val="ListParagraph"/>
        <w:numPr>
          <w:ilvl w:val="0"/>
          <w:numId w:val="12"/>
        </w:numPr>
        <w:ind w:right="11"/>
        <w:jc w:val="left"/>
        <w:rPr>
          <w:rFonts w:ascii="Times New Roman" w:hAnsi="Times New Roman" w:cs="Times New Roman"/>
          <w:b/>
        </w:rPr>
      </w:pPr>
      <w:r w:rsidRPr="00987DA0">
        <w:rPr>
          <w:rFonts w:ascii="Times New Roman" w:hAnsi="Times New Roman" w:cs="Times New Roman"/>
        </w:rPr>
        <w:t>Akcije sa pravom glasa (V – Voting)</w:t>
      </w:r>
    </w:p>
    <w:p w14:paraId="50CD8D96" w14:textId="77777777" w:rsidR="00987DA0" w:rsidRPr="00987DA0" w:rsidRDefault="00987DA0" w:rsidP="00987DA0">
      <w:pPr>
        <w:pStyle w:val="ListParagraph"/>
        <w:numPr>
          <w:ilvl w:val="0"/>
          <w:numId w:val="12"/>
        </w:numPr>
        <w:ind w:right="11"/>
        <w:jc w:val="left"/>
        <w:rPr>
          <w:rFonts w:ascii="Times New Roman" w:hAnsi="Times New Roman" w:cs="Times New Roman"/>
          <w:b/>
        </w:rPr>
      </w:pPr>
      <w:r w:rsidRPr="00987DA0">
        <w:rPr>
          <w:rFonts w:ascii="Times New Roman" w:hAnsi="Times New Roman" w:cs="Times New Roman"/>
        </w:rPr>
        <w:lastRenderedPageBreak/>
        <w:t>Akcije bez ograničenja prava vlasništva (U – Free)</w:t>
      </w:r>
    </w:p>
    <w:p w14:paraId="78BD8B28" w14:textId="77777777" w:rsidR="00987DA0" w:rsidRPr="00987DA0" w:rsidRDefault="00987DA0" w:rsidP="00987DA0">
      <w:pPr>
        <w:pStyle w:val="ListParagraph"/>
        <w:numPr>
          <w:ilvl w:val="0"/>
          <w:numId w:val="12"/>
        </w:numPr>
        <w:ind w:right="11"/>
        <w:jc w:val="left"/>
        <w:rPr>
          <w:rFonts w:ascii="Times New Roman" w:hAnsi="Times New Roman" w:cs="Times New Roman"/>
          <w:b/>
        </w:rPr>
      </w:pPr>
      <w:r w:rsidRPr="00987DA0">
        <w:rPr>
          <w:rFonts w:ascii="Times New Roman" w:hAnsi="Times New Roman" w:cs="Times New Roman"/>
        </w:rPr>
        <w:t>Akcije koje je neophodno u potpunosti uplatiti (F – Fully paid)</w:t>
      </w:r>
    </w:p>
    <w:p w14:paraId="1A906B4E" w14:textId="77777777" w:rsidR="00987DA0" w:rsidRPr="00987DA0" w:rsidRDefault="00987DA0" w:rsidP="00987DA0">
      <w:pPr>
        <w:pStyle w:val="ListParagraph"/>
        <w:numPr>
          <w:ilvl w:val="0"/>
          <w:numId w:val="12"/>
        </w:numPr>
        <w:ind w:right="11"/>
        <w:jc w:val="left"/>
        <w:rPr>
          <w:rFonts w:ascii="Times New Roman" w:hAnsi="Times New Roman" w:cs="Times New Roman"/>
          <w:b/>
        </w:rPr>
      </w:pPr>
      <w:r w:rsidRPr="00987DA0">
        <w:rPr>
          <w:rFonts w:ascii="Times New Roman" w:hAnsi="Times New Roman" w:cs="Times New Roman"/>
        </w:rPr>
        <w:t>Akcije koje će se registrovai u Centralnom registru hartija od vrijednosti Republike Srpske a.d. Banja Luka (R – Registered).</w:t>
      </w:r>
    </w:p>
    <w:p w14:paraId="317146DC" w14:textId="77777777" w:rsidR="00987DA0" w:rsidRPr="00987DA0" w:rsidRDefault="00987DA0" w:rsidP="00987DA0">
      <w:pPr>
        <w:ind w:right="11"/>
        <w:rPr>
          <w:b/>
          <w:lang w:val="sr-Latn-BA"/>
        </w:rPr>
      </w:pPr>
    </w:p>
    <w:p w14:paraId="61B83040" w14:textId="77777777" w:rsidR="00987DA0" w:rsidRPr="00987DA0" w:rsidRDefault="00987DA0" w:rsidP="00987DA0">
      <w:pPr>
        <w:pStyle w:val="ListParagraph"/>
        <w:numPr>
          <w:ilvl w:val="0"/>
          <w:numId w:val="11"/>
        </w:numPr>
        <w:ind w:right="11"/>
        <w:jc w:val="center"/>
        <w:rPr>
          <w:rFonts w:ascii="Times New Roman" w:hAnsi="Times New Roman" w:cs="Times New Roman"/>
          <w:b/>
        </w:rPr>
      </w:pPr>
      <w:r w:rsidRPr="00987DA0">
        <w:rPr>
          <w:rFonts w:ascii="Times New Roman" w:hAnsi="Times New Roman" w:cs="Times New Roman"/>
        </w:rPr>
        <w:t xml:space="preserve"> </w:t>
      </w:r>
    </w:p>
    <w:p w14:paraId="4D1EF49D" w14:textId="2A8193F4" w:rsidR="00987DA0" w:rsidRPr="00987DA0" w:rsidRDefault="00987DA0" w:rsidP="00987DA0">
      <w:pPr>
        <w:shd w:val="clear" w:color="auto" w:fill="FFFFFF"/>
        <w:ind w:right="11"/>
        <w:jc w:val="both"/>
        <w:rPr>
          <w:b/>
        </w:rPr>
      </w:pPr>
      <w:r w:rsidRPr="00987DA0">
        <w:t>Redovne (o</w:t>
      </w:r>
      <w:r w:rsidRPr="00987DA0">
        <w:rPr>
          <w:lang w:val="sr-Cyrl-BA"/>
        </w:rPr>
        <w:t>bične</w:t>
      </w:r>
      <w:r w:rsidRPr="00987DA0">
        <w:t>)</w:t>
      </w:r>
      <w:r w:rsidRPr="00987DA0">
        <w:rPr>
          <w:lang w:val="sr-Cyrl-BA"/>
        </w:rPr>
        <w:t xml:space="preserve"> akcije </w:t>
      </w:r>
      <w:r w:rsidRPr="00987DA0">
        <w:rPr>
          <w:lang w:val="sr-Latn-BA"/>
        </w:rPr>
        <w:t xml:space="preserve">emitovane </w:t>
      </w:r>
      <w:r>
        <w:rPr>
          <w:lang w:val="sr-Latn-BA"/>
        </w:rPr>
        <w:t>drugom</w:t>
      </w:r>
      <w:r w:rsidRPr="00987DA0">
        <w:rPr>
          <w:lang w:val="sr-Latn-BA"/>
        </w:rPr>
        <w:t xml:space="preserve"> emisijom </w:t>
      </w:r>
      <w:r w:rsidRPr="00987DA0">
        <w:rPr>
          <w:lang w:val="sr-Cyrl-BA"/>
        </w:rPr>
        <w:t xml:space="preserve">daju </w:t>
      </w:r>
      <w:r w:rsidRPr="00987DA0">
        <w:rPr>
          <w:lang w:val="sr-Latn-BA"/>
        </w:rPr>
        <w:t xml:space="preserve">sljedeća </w:t>
      </w:r>
      <w:r w:rsidRPr="00987DA0">
        <w:rPr>
          <w:lang w:val="sr-Cyrl-BA"/>
        </w:rPr>
        <w:t>prav</w:t>
      </w:r>
      <w:r w:rsidRPr="00987DA0">
        <w:rPr>
          <w:lang w:val="sr-Latn-BA"/>
        </w:rPr>
        <w:t>a</w:t>
      </w:r>
      <w:r w:rsidRPr="00987DA0">
        <w:rPr>
          <w:lang w:val="sr-Cyrl-BA"/>
        </w:rPr>
        <w:t>:</w:t>
      </w:r>
    </w:p>
    <w:p w14:paraId="66CA4E6A" w14:textId="7050045D" w:rsidR="00B55634" w:rsidRPr="00B55634" w:rsidRDefault="00B55634" w:rsidP="00B55634">
      <w:pPr>
        <w:ind w:right="11"/>
        <w:rPr>
          <w:color w:val="000000"/>
          <w:lang w:val="sr-Latn-BA"/>
        </w:rPr>
      </w:pPr>
    </w:p>
    <w:p w14:paraId="7A2F376F" w14:textId="4EE072E1" w:rsidR="00B55634" w:rsidRPr="00B55634" w:rsidRDefault="00B55634" w:rsidP="00B55634">
      <w:pPr>
        <w:numPr>
          <w:ilvl w:val="0"/>
          <w:numId w:val="16"/>
        </w:numPr>
        <w:ind w:left="709" w:right="11" w:hanging="349"/>
        <w:rPr>
          <w:color w:val="000000"/>
          <w:lang w:val="sr-Latn-BA"/>
        </w:rPr>
      </w:pPr>
      <w:r w:rsidRPr="00B55634">
        <w:rPr>
          <w:color w:val="000000"/>
          <w:lang w:val="sr-Latn-BA"/>
        </w:rPr>
        <w:t>pravo pristupa pravnim aktima i drugim dokumentima i informacijama Društva,</w:t>
      </w:r>
    </w:p>
    <w:p w14:paraId="006E91FE" w14:textId="2BF663C5" w:rsidR="00B55634" w:rsidRPr="00B55634" w:rsidRDefault="00B55634" w:rsidP="00B55634">
      <w:pPr>
        <w:numPr>
          <w:ilvl w:val="0"/>
          <w:numId w:val="16"/>
        </w:numPr>
        <w:ind w:left="709" w:right="11" w:hanging="349"/>
        <w:rPr>
          <w:color w:val="000000"/>
          <w:lang w:val="sr-Latn-BA"/>
        </w:rPr>
      </w:pPr>
      <w:r w:rsidRPr="00B55634">
        <w:rPr>
          <w:color w:val="000000"/>
          <w:lang w:val="sr-Latn-BA"/>
        </w:rPr>
        <w:t>pravo učešća u radu skupštine Društva,</w:t>
      </w:r>
    </w:p>
    <w:p w14:paraId="2CE369B5" w14:textId="265E3C7B" w:rsidR="00B55634" w:rsidRPr="00B55634" w:rsidRDefault="00B55634" w:rsidP="00B55634">
      <w:pPr>
        <w:numPr>
          <w:ilvl w:val="0"/>
          <w:numId w:val="16"/>
        </w:numPr>
        <w:ind w:left="709" w:right="11" w:hanging="349"/>
        <w:rPr>
          <w:color w:val="000000"/>
          <w:lang w:val="sr-Latn-BA"/>
        </w:rPr>
      </w:pPr>
      <w:r w:rsidRPr="00B55634">
        <w:rPr>
          <w:color w:val="000000"/>
          <w:lang w:val="sr-Latn-BA"/>
        </w:rPr>
        <w:t>pravo glasa u skupštini Društva tako da jedna akcija uvijek daje pravo na jedan glas,</w:t>
      </w:r>
    </w:p>
    <w:p w14:paraId="2B5B1395" w14:textId="08431234" w:rsidR="00B55634" w:rsidRPr="00B55634" w:rsidRDefault="00B55634" w:rsidP="00B55634">
      <w:pPr>
        <w:numPr>
          <w:ilvl w:val="0"/>
          <w:numId w:val="16"/>
        </w:numPr>
        <w:ind w:left="709" w:right="11" w:hanging="349"/>
        <w:rPr>
          <w:color w:val="000000"/>
          <w:lang w:val="sr-Latn-BA"/>
        </w:rPr>
      </w:pPr>
      <w:r w:rsidRPr="00B55634">
        <w:rPr>
          <w:color w:val="000000"/>
          <w:lang w:val="sr-Latn-BA"/>
        </w:rPr>
        <w:t>pravo na isplatu dividendi,</w:t>
      </w:r>
    </w:p>
    <w:p w14:paraId="600AFD67" w14:textId="101E0E5D" w:rsidR="00B55634" w:rsidRPr="00B55634" w:rsidRDefault="00B55634" w:rsidP="00B55634">
      <w:pPr>
        <w:numPr>
          <w:ilvl w:val="0"/>
          <w:numId w:val="16"/>
        </w:numPr>
        <w:ind w:left="709" w:right="11" w:hanging="349"/>
        <w:rPr>
          <w:color w:val="000000"/>
          <w:lang w:val="sr-Latn-BA"/>
        </w:rPr>
      </w:pPr>
      <w:r w:rsidRPr="00B55634">
        <w:rPr>
          <w:color w:val="000000"/>
          <w:lang w:val="sr-Latn-BA"/>
        </w:rPr>
        <w:t>pravo učešća u raspodjeli likvidacionog viška po likvidaciji Društva, a nakon isplate povjerilaca i akcionara bilo kojih povlašćenih akcija,</w:t>
      </w:r>
    </w:p>
    <w:p w14:paraId="20A83871" w14:textId="6C19C579" w:rsidR="00B55634" w:rsidRPr="00B55634" w:rsidRDefault="00B55634" w:rsidP="00B55634">
      <w:pPr>
        <w:numPr>
          <w:ilvl w:val="0"/>
          <w:numId w:val="16"/>
        </w:numPr>
        <w:ind w:left="709" w:right="11" w:hanging="349"/>
        <w:rPr>
          <w:color w:val="000000"/>
          <w:lang w:val="sr-Latn-BA"/>
        </w:rPr>
      </w:pPr>
      <w:r w:rsidRPr="00B55634">
        <w:rPr>
          <w:color w:val="000000"/>
          <w:lang w:val="sr-Latn-BA"/>
        </w:rPr>
        <w:t>pravo prečeg sticanja akcija iz novih emisija i zamjenlјivih obveznica i</w:t>
      </w:r>
    </w:p>
    <w:p w14:paraId="708A04F0" w14:textId="33B99BEF" w:rsidR="00B55634" w:rsidRPr="00B55634" w:rsidRDefault="00B55634" w:rsidP="00B55634">
      <w:pPr>
        <w:numPr>
          <w:ilvl w:val="0"/>
          <w:numId w:val="16"/>
        </w:numPr>
        <w:ind w:left="709" w:right="11" w:hanging="349"/>
        <w:rPr>
          <w:color w:val="000000"/>
          <w:lang w:val="sr-Latn-BA"/>
        </w:rPr>
      </w:pPr>
      <w:r w:rsidRPr="00B55634">
        <w:rPr>
          <w:color w:val="000000"/>
          <w:lang w:val="sr-Latn-BA"/>
        </w:rPr>
        <w:t>pravo raspolaganja akcijama svih vrsta u skladu sa zakonom.</w:t>
      </w:r>
    </w:p>
    <w:p w14:paraId="79EC6CBC" w14:textId="77777777" w:rsidR="00B55634" w:rsidRPr="00B55634" w:rsidRDefault="00B55634" w:rsidP="00B55634">
      <w:pPr>
        <w:ind w:right="11"/>
        <w:rPr>
          <w:color w:val="000000"/>
          <w:lang w:val="sr-Latn-BA"/>
        </w:rPr>
      </w:pPr>
    </w:p>
    <w:p w14:paraId="6C54AE66" w14:textId="7E146ABE" w:rsidR="00987DA0" w:rsidRPr="00987DA0" w:rsidRDefault="00B55634" w:rsidP="00B55634">
      <w:pPr>
        <w:ind w:right="11"/>
        <w:rPr>
          <w:color w:val="000000"/>
          <w:lang w:val="sr-Latn-BA"/>
        </w:rPr>
      </w:pPr>
      <w:r w:rsidRPr="00B55634">
        <w:rPr>
          <w:color w:val="000000"/>
          <w:lang w:val="sr-Latn-BA"/>
        </w:rPr>
        <w:t>Akcije Društva su slobodno prenosive, odnosno ne postoji ograničenje prenosa akcija Društva</w:t>
      </w:r>
    </w:p>
    <w:p w14:paraId="07F2C918" w14:textId="77777777" w:rsidR="00987DA0" w:rsidRPr="00987DA0" w:rsidRDefault="00987DA0" w:rsidP="00987DA0">
      <w:pPr>
        <w:ind w:right="11"/>
        <w:rPr>
          <w:b/>
          <w:lang w:val="sr-Latn-BA"/>
        </w:rPr>
      </w:pPr>
    </w:p>
    <w:p w14:paraId="08195E76" w14:textId="77777777" w:rsidR="00987DA0" w:rsidRPr="00987DA0" w:rsidRDefault="00987DA0" w:rsidP="00987DA0">
      <w:pPr>
        <w:pStyle w:val="ListParagraph"/>
        <w:numPr>
          <w:ilvl w:val="0"/>
          <w:numId w:val="11"/>
        </w:numPr>
        <w:ind w:right="11"/>
        <w:jc w:val="center"/>
        <w:rPr>
          <w:rFonts w:ascii="Times New Roman" w:hAnsi="Times New Roman" w:cs="Times New Roman"/>
          <w:b/>
        </w:rPr>
      </w:pPr>
    </w:p>
    <w:p w14:paraId="504985F2" w14:textId="17BB18E4" w:rsidR="00987DA0" w:rsidRPr="00987DA0" w:rsidRDefault="00987DA0" w:rsidP="00987DA0">
      <w:pPr>
        <w:ind w:right="11"/>
        <w:jc w:val="both"/>
        <w:rPr>
          <w:b/>
        </w:rPr>
      </w:pPr>
      <w:r w:rsidRPr="00987DA0">
        <w:rPr>
          <w:lang w:val="sr-Latn-BA"/>
        </w:rPr>
        <w:t>Sredstva prikupljena emisijom akcija koristiće se z</w:t>
      </w:r>
      <w:r w:rsidR="00B55634">
        <w:rPr>
          <w:lang w:val="sr-Latn-BA"/>
        </w:rPr>
        <w:t>a jačanje kapitalne osnove Emitenta</w:t>
      </w:r>
      <w:r w:rsidRPr="00987DA0">
        <w:rPr>
          <w:lang w:val="sr-Latn-BA"/>
        </w:rPr>
        <w:t>. Očekivani efekti investiranja su stabilnije poslovanje Emitenta, te bolji kvalitet poslovanja Emitenta, kao i jačanje</w:t>
      </w:r>
      <w:r w:rsidR="00EE7DF9">
        <w:rPr>
          <w:lang w:val="sr-Latn-BA"/>
        </w:rPr>
        <w:t xml:space="preserve"> prethodno pomenute</w:t>
      </w:r>
      <w:r w:rsidRPr="00987DA0">
        <w:rPr>
          <w:lang w:val="sr-Latn-BA"/>
        </w:rPr>
        <w:t xml:space="preserve"> kapitalne osnove.</w:t>
      </w:r>
    </w:p>
    <w:p w14:paraId="2FA46DC8" w14:textId="77777777" w:rsidR="00987DA0" w:rsidRPr="00987DA0" w:rsidRDefault="00987DA0" w:rsidP="00987DA0">
      <w:pPr>
        <w:ind w:right="11"/>
        <w:jc w:val="both"/>
        <w:rPr>
          <w:b/>
          <w:lang w:val="sr-Latn-BA"/>
        </w:rPr>
      </w:pPr>
    </w:p>
    <w:p w14:paraId="52145577" w14:textId="77777777" w:rsidR="00987DA0" w:rsidRPr="00987DA0" w:rsidRDefault="00987DA0" w:rsidP="00987DA0">
      <w:pPr>
        <w:pStyle w:val="ListParagraph"/>
        <w:numPr>
          <w:ilvl w:val="0"/>
          <w:numId w:val="11"/>
        </w:numPr>
        <w:tabs>
          <w:tab w:val="left" w:pos="0"/>
        </w:tabs>
        <w:ind w:right="11"/>
        <w:jc w:val="center"/>
        <w:rPr>
          <w:rFonts w:ascii="Times New Roman" w:hAnsi="Times New Roman" w:cs="Times New Roman"/>
          <w:b/>
        </w:rPr>
      </w:pPr>
      <w:r w:rsidRPr="00987DA0">
        <w:rPr>
          <w:rFonts w:ascii="Times New Roman" w:hAnsi="Times New Roman" w:cs="Times New Roman"/>
        </w:rPr>
        <w:t xml:space="preserve"> </w:t>
      </w:r>
    </w:p>
    <w:p w14:paraId="711F9ED4" w14:textId="77777777" w:rsidR="00987DA0" w:rsidRPr="00987DA0" w:rsidRDefault="00987DA0" w:rsidP="00987DA0">
      <w:pPr>
        <w:tabs>
          <w:tab w:val="left" w:pos="0"/>
        </w:tabs>
        <w:spacing w:after="240"/>
        <w:ind w:right="11"/>
        <w:jc w:val="both"/>
        <w:rPr>
          <w:b/>
          <w:lang w:val="sr-Latn-BA"/>
        </w:rPr>
      </w:pPr>
      <w:r w:rsidRPr="00987DA0">
        <w:rPr>
          <w:lang w:val="sr-Latn-BA"/>
        </w:rPr>
        <w:t>Emisija se vrši sa korištenjem prava preče kupovine.</w:t>
      </w:r>
    </w:p>
    <w:p w14:paraId="651D1ABB" w14:textId="77777777" w:rsidR="00987DA0" w:rsidRPr="00987DA0" w:rsidRDefault="00987DA0" w:rsidP="00987DA0">
      <w:pPr>
        <w:tabs>
          <w:tab w:val="left" w:pos="0"/>
        </w:tabs>
        <w:spacing w:after="240"/>
        <w:ind w:right="11"/>
        <w:jc w:val="both"/>
        <w:rPr>
          <w:b/>
          <w:lang w:val="sr-Latn-BA"/>
        </w:rPr>
      </w:pPr>
      <w:r w:rsidRPr="00987DA0">
        <w:rPr>
          <w:lang w:val="sr-Latn-BA"/>
        </w:rPr>
        <w:t>Pravo preče kupovine akcija iz predmetne emisije pripada postojećim akcionarima srazmjerno njihovom procentualnom učešću u akcijama sa pravom glasa, na dan presjeka.</w:t>
      </w:r>
    </w:p>
    <w:p w14:paraId="2897718B" w14:textId="6737E25A" w:rsidR="00987DA0" w:rsidRPr="00987DA0" w:rsidRDefault="00987DA0" w:rsidP="00987DA0">
      <w:pPr>
        <w:tabs>
          <w:tab w:val="left" w:pos="0"/>
        </w:tabs>
        <w:spacing w:after="240"/>
        <w:ind w:right="11"/>
        <w:jc w:val="both"/>
        <w:rPr>
          <w:b/>
          <w:lang w:val="sr-Latn-BA"/>
        </w:rPr>
      </w:pPr>
      <w:r w:rsidRPr="00987DA0">
        <w:rPr>
          <w:lang w:val="sr-Latn-BA"/>
        </w:rPr>
        <w:t xml:space="preserve">Kao dan presjeka utvrđuje se dan </w:t>
      </w:r>
      <w:r w:rsidR="007257A2">
        <w:rPr>
          <w:lang w:val="sr-Latn-BA"/>
        </w:rPr>
        <w:t>03.06.2025</w:t>
      </w:r>
      <w:r w:rsidRPr="00987DA0">
        <w:rPr>
          <w:lang w:val="sr-Latn-BA"/>
        </w:rPr>
        <w:t xml:space="preserve">. godine. </w:t>
      </w:r>
    </w:p>
    <w:p w14:paraId="54EBB3C4" w14:textId="77777777" w:rsidR="00987DA0" w:rsidRPr="00987DA0" w:rsidRDefault="00987DA0" w:rsidP="00987DA0">
      <w:pPr>
        <w:tabs>
          <w:tab w:val="left" w:pos="0"/>
        </w:tabs>
        <w:spacing w:after="240"/>
        <w:ind w:right="11"/>
        <w:jc w:val="both"/>
        <w:rPr>
          <w:b/>
          <w:lang w:val="sr-Latn-BA"/>
        </w:rPr>
      </w:pPr>
      <w:r w:rsidRPr="00987DA0">
        <w:rPr>
          <w:lang w:val="sr-Latn-BA"/>
        </w:rPr>
        <w:t>Rok u kojem se može ostvariti pravo preče kupovine iznosi 15 dana od dana početka upisa i uplate akcija iz predmetne emisije.</w:t>
      </w:r>
    </w:p>
    <w:p w14:paraId="715C50F9" w14:textId="15A5499A" w:rsidR="00987DA0" w:rsidRPr="00987DA0" w:rsidRDefault="00987DA0" w:rsidP="00987DA0">
      <w:pPr>
        <w:tabs>
          <w:tab w:val="left" w:pos="0"/>
        </w:tabs>
        <w:spacing w:after="240"/>
        <w:ind w:right="11"/>
        <w:jc w:val="both"/>
        <w:rPr>
          <w:lang w:val="sr-Latn-BA"/>
        </w:rPr>
      </w:pPr>
      <w:r w:rsidRPr="00987DA0">
        <w:rPr>
          <w:lang w:val="sr-Latn-BA"/>
        </w:rPr>
        <w:t xml:space="preserve">Pravo preče kupovine ostvaruje se potpisivanjem izjave o upisu akcija </w:t>
      </w:r>
      <w:r w:rsidR="007257A2">
        <w:rPr>
          <w:lang w:val="sr-Latn-BA"/>
        </w:rPr>
        <w:t>druge</w:t>
      </w:r>
      <w:r w:rsidRPr="00987DA0">
        <w:rPr>
          <w:lang w:val="sr-Latn-BA"/>
        </w:rPr>
        <w:t xml:space="preserve"> emisije (upisnica) u pet primjeraka, od kojih dva primjerka pripadaju kupcu.</w:t>
      </w:r>
    </w:p>
    <w:p w14:paraId="7D9B5A70" w14:textId="77777777" w:rsidR="00987DA0" w:rsidRPr="00987DA0" w:rsidRDefault="00987DA0" w:rsidP="00987DA0">
      <w:pPr>
        <w:tabs>
          <w:tab w:val="left" w:pos="0"/>
        </w:tabs>
        <w:spacing w:after="240"/>
        <w:ind w:right="11"/>
        <w:jc w:val="both"/>
        <w:rPr>
          <w:bCs/>
          <w:lang w:val="sr-Latn-BA"/>
        </w:rPr>
      </w:pPr>
      <w:r w:rsidRPr="00987DA0">
        <w:rPr>
          <w:bCs/>
          <w:lang w:val="sr-Latn-BA"/>
        </w:rPr>
        <w:t>Upis akcija može se vršiti lično ili posredstvom punomoćnika. U slučaju da se upis akcija vrši posredstvom punomoćnika, punomoć za fizička lica mora biti ovjerena od strane nadležnog organa, dok punomoć za pravna lica mora biti ovjerena od strane zakonskog zastupnika pravnog lica.</w:t>
      </w:r>
    </w:p>
    <w:p w14:paraId="4BE96FCD" w14:textId="77777777" w:rsidR="00987DA0" w:rsidRPr="00987DA0" w:rsidRDefault="00987DA0" w:rsidP="00987DA0">
      <w:pPr>
        <w:tabs>
          <w:tab w:val="left" w:pos="0"/>
        </w:tabs>
        <w:spacing w:after="240"/>
        <w:ind w:right="11"/>
        <w:jc w:val="both"/>
        <w:rPr>
          <w:b/>
          <w:lang w:val="sr-Latn-BA"/>
        </w:rPr>
      </w:pPr>
      <w:r w:rsidRPr="00987DA0">
        <w:rPr>
          <w:lang w:val="sr-Latn-BA"/>
        </w:rPr>
        <w:t>Upis akcija po osnovu korištenja prava preče kupovine vršiće se kod ovlaštenog berzanskog posrednika „Advantis broker“ a.d. Banja Luka, u ulici Krajiških brigada 113, Banja Luka, svakim radnim danom u periodu od 8 do 16 časova.</w:t>
      </w:r>
    </w:p>
    <w:p w14:paraId="5572E1B7" w14:textId="77777777" w:rsidR="00987DA0" w:rsidRPr="00987DA0" w:rsidRDefault="00987DA0" w:rsidP="00987DA0">
      <w:pPr>
        <w:tabs>
          <w:tab w:val="left" w:pos="0"/>
        </w:tabs>
        <w:spacing w:after="240"/>
        <w:ind w:right="11"/>
        <w:jc w:val="both"/>
        <w:rPr>
          <w:b/>
          <w:lang w:val="sr-Latn-BA"/>
        </w:rPr>
      </w:pPr>
      <w:r w:rsidRPr="00987DA0">
        <w:rPr>
          <w:lang w:val="sr-Latn-BA"/>
        </w:rPr>
        <w:t xml:space="preserve">U slučaju kada se kao rezultat izračunavanja pripadajućeg broja akcija, u srazmjeri sa procentualnim učešćem u osnovnom kapitalu koje kod Emitenta akcionari imaju na dan presjeka iskaže razlomljeni broj akcija, vrši se zaokruživanje na niži cijeli broj kod akcionara </w:t>
      </w:r>
      <w:r w:rsidRPr="00987DA0">
        <w:rPr>
          <w:lang w:val="sr-Latn-BA"/>
        </w:rPr>
        <w:lastRenderedPageBreak/>
        <w:t>kod kojih je razlomljeni broj akcije do 50% cijele akcije, odnosno na viši cijeli broj, ako je razlomljeni broj akcije 50% i više od 50% cijele akcije.</w:t>
      </w:r>
    </w:p>
    <w:p w14:paraId="67332C6E" w14:textId="198EAD13" w:rsidR="00987DA0" w:rsidRPr="00E42DDA" w:rsidRDefault="00987DA0" w:rsidP="00E42DDA">
      <w:pPr>
        <w:tabs>
          <w:tab w:val="left" w:pos="0"/>
        </w:tabs>
        <w:spacing w:after="240"/>
        <w:ind w:right="11"/>
        <w:jc w:val="both"/>
        <w:rPr>
          <w:lang w:val="sr-Latn-BA"/>
        </w:rPr>
      </w:pPr>
      <w:r w:rsidRPr="00987DA0">
        <w:rPr>
          <w:lang w:val="sr-Latn-BA"/>
        </w:rPr>
        <w:t>Ako se prilikom izračunavanja pripadajućeg broja redovnih akcija po akcionaru prilikom konverzije pojavi obračunski „manjak“ akcija, iskazani manjak akcija će se dodavati polazeći od akcionara sa najmanjim brojem akcija, odnosno obračunski „višak“ akcija će se oduzimati polazeći od akcionara sa najvećim brojem akcija.</w:t>
      </w:r>
    </w:p>
    <w:p w14:paraId="313C534D" w14:textId="77777777" w:rsidR="00987DA0" w:rsidRPr="00987DA0" w:rsidRDefault="00987DA0" w:rsidP="00987DA0">
      <w:pPr>
        <w:pStyle w:val="ListParagraph"/>
        <w:numPr>
          <w:ilvl w:val="0"/>
          <w:numId w:val="11"/>
        </w:numPr>
        <w:tabs>
          <w:tab w:val="left" w:pos="0"/>
        </w:tabs>
        <w:ind w:right="11"/>
        <w:jc w:val="center"/>
        <w:rPr>
          <w:rFonts w:ascii="Times New Roman" w:hAnsi="Times New Roman" w:cs="Times New Roman"/>
          <w:b/>
          <w:lang w:val="sr-Latn-CS"/>
        </w:rPr>
      </w:pPr>
    </w:p>
    <w:p w14:paraId="7254748E" w14:textId="77777777" w:rsidR="00987DA0" w:rsidRPr="00987DA0" w:rsidRDefault="00987DA0" w:rsidP="00987DA0">
      <w:pPr>
        <w:ind w:right="11"/>
        <w:jc w:val="both"/>
        <w:rPr>
          <w:b/>
          <w:lang w:val="sr-Latn-BA"/>
        </w:rPr>
      </w:pPr>
      <w:r w:rsidRPr="00987DA0">
        <w:rPr>
          <w:lang w:val="sr-Latn-BA"/>
        </w:rPr>
        <w:t xml:space="preserve">Dan početka razdoblja upisa i uplate akcija biće utvrđen i objavljen u Javnom pozivu za upis i uplatu akcija iz ove emisije u formi oglasa u dnevnom listu dostupnom na cijeloj teritoriji Republike Srpske, kao i na internet stranici Banjalučke berze, u kojem će biti naznačena mjesta na kojima se Prospekt može besplatno dobiti, te internet adrese sa kojih se može preuzeti. Upis i uplata će trajati ukupno </w:t>
      </w:r>
      <w:r w:rsidRPr="007257A2">
        <w:rPr>
          <w:lang w:val="sr-Latn-BA"/>
        </w:rPr>
        <w:t>22</w:t>
      </w:r>
      <w:r w:rsidRPr="00987DA0">
        <w:rPr>
          <w:lang w:val="sr-Latn-BA"/>
        </w:rPr>
        <w:t xml:space="preserve"> dana.</w:t>
      </w:r>
    </w:p>
    <w:p w14:paraId="2D0865A5" w14:textId="77777777" w:rsidR="00987DA0" w:rsidRPr="00987DA0" w:rsidRDefault="00987DA0" w:rsidP="00987DA0">
      <w:pPr>
        <w:ind w:right="11"/>
        <w:jc w:val="both"/>
        <w:rPr>
          <w:b/>
          <w:lang w:val="sr-Latn-BA"/>
        </w:rPr>
      </w:pPr>
    </w:p>
    <w:p w14:paraId="363040BC" w14:textId="77777777" w:rsidR="00987DA0" w:rsidRPr="00987DA0" w:rsidRDefault="00987DA0" w:rsidP="00987DA0">
      <w:pPr>
        <w:pStyle w:val="ListParagraph"/>
        <w:numPr>
          <w:ilvl w:val="0"/>
          <w:numId w:val="11"/>
        </w:numPr>
        <w:tabs>
          <w:tab w:val="left" w:pos="0"/>
        </w:tabs>
        <w:ind w:right="11"/>
        <w:jc w:val="center"/>
        <w:rPr>
          <w:rFonts w:ascii="Times New Roman" w:hAnsi="Times New Roman" w:cs="Times New Roman"/>
          <w:b/>
        </w:rPr>
      </w:pPr>
      <w:r w:rsidRPr="00987DA0">
        <w:rPr>
          <w:rFonts w:ascii="Times New Roman" w:hAnsi="Times New Roman" w:cs="Times New Roman"/>
        </w:rPr>
        <w:t xml:space="preserve">  </w:t>
      </w:r>
    </w:p>
    <w:p w14:paraId="7430454F" w14:textId="77777777" w:rsidR="00987DA0" w:rsidRPr="00987DA0" w:rsidRDefault="00987DA0" w:rsidP="00987DA0">
      <w:pPr>
        <w:tabs>
          <w:tab w:val="left" w:pos="0"/>
        </w:tabs>
        <w:spacing w:after="240"/>
        <w:ind w:right="11"/>
        <w:jc w:val="both"/>
        <w:rPr>
          <w:b/>
          <w:bCs/>
          <w:color w:val="202020"/>
          <w:shd w:val="clear" w:color="auto" w:fill="FFFFFF"/>
        </w:rPr>
      </w:pPr>
      <w:r w:rsidRPr="00987DA0">
        <w:rPr>
          <w:bCs/>
          <w:color w:val="202020"/>
          <w:shd w:val="clear" w:color="auto" w:fill="FFFFFF"/>
        </w:rPr>
        <w:t>Nakon isteka roka za korištenje prava preče kupovine akcija od 15 dana, preostali iznos emisije biće predmet javne ponude na Banjalučkoj berzi hartija od vrijednosti a.d. Banja Luka. Upis i uplata preostalih akcija, vršiće se kod ovlaštenih berzanskih posrednika na tržištu hartija od vrijednosti Republike Srpske, u skladu sa radnim vremenom ovlaštenih berzanskih posrednika.</w:t>
      </w:r>
    </w:p>
    <w:p w14:paraId="7ADFDFCE" w14:textId="04AEC78A" w:rsidR="00987DA0" w:rsidRPr="00987DA0" w:rsidRDefault="00987DA0" w:rsidP="00987DA0">
      <w:pPr>
        <w:ind w:right="11"/>
        <w:jc w:val="both"/>
        <w:rPr>
          <w:b/>
          <w:lang w:val="sr-Latn-BA"/>
        </w:rPr>
      </w:pPr>
      <w:r w:rsidRPr="00987DA0">
        <w:rPr>
          <w:lang w:val="sr-Latn-BA"/>
        </w:rPr>
        <w:t xml:space="preserve">Uplata akcija se vrši u konvertibilnim markama (KM), na poseban privremeni račun za deponovanje uplata po osnovu kupovine emitovanih akcija, otvoren kod jedne od banaka u Bosni i Hercegovini. Podaci o banci i broju računa na koji se vrše uplate, biće sadržani u Jedinstvenom prospektu </w:t>
      </w:r>
      <w:r w:rsidR="00C0779F">
        <w:rPr>
          <w:lang w:val="sr-Latn-BA"/>
        </w:rPr>
        <w:t>druge</w:t>
      </w:r>
      <w:r w:rsidRPr="00987DA0">
        <w:rPr>
          <w:lang w:val="sr-Latn-BA"/>
        </w:rPr>
        <w:t xml:space="preserve"> emisije akcija, Javnom pozivu za upis i uplatu akcija, te ujedno dostupni i u prostorijama Emitenta i agenta emisije. </w:t>
      </w:r>
    </w:p>
    <w:p w14:paraId="7999E8A1" w14:textId="77777777" w:rsidR="00987DA0" w:rsidRPr="00987DA0" w:rsidRDefault="00987DA0" w:rsidP="00987DA0">
      <w:pPr>
        <w:tabs>
          <w:tab w:val="left" w:pos="0"/>
        </w:tabs>
        <w:ind w:right="11"/>
        <w:jc w:val="both"/>
        <w:rPr>
          <w:b/>
          <w:bCs/>
          <w:color w:val="202020"/>
          <w:shd w:val="clear" w:color="auto" w:fill="FFFFFF"/>
        </w:rPr>
      </w:pPr>
    </w:p>
    <w:p w14:paraId="207E6000" w14:textId="77777777" w:rsidR="00987DA0" w:rsidRPr="00987DA0" w:rsidRDefault="00987DA0" w:rsidP="00987DA0">
      <w:pPr>
        <w:pStyle w:val="ListParagraph"/>
        <w:numPr>
          <w:ilvl w:val="0"/>
          <w:numId w:val="11"/>
        </w:numPr>
        <w:tabs>
          <w:tab w:val="left" w:pos="0"/>
        </w:tabs>
        <w:ind w:right="11"/>
        <w:jc w:val="center"/>
        <w:rPr>
          <w:rFonts w:ascii="Times New Roman" w:hAnsi="Times New Roman" w:cs="Times New Roman"/>
          <w:b/>
          <w:bCs/>
        </w:rPr>
      </w:pPr>
    </w:p>
    <w:p w14:paraId="2B35AF0D" w14:textId="30BE3637" w:rsidR="00987DA0" w:rsidRPr="00987DA0" w:rsidRDefault="00987DA0" w:rsidP="00987DA0">
      <w:pPr>
        <w:pStyle w:val="ListParagraph"/>
        <w:tabs>
          <w:tab w:val="left" w:pos="0"/>
        </w:tabs>
        <w:spacing w:before="240" w:after="240"/>
        <w:ind w:left="0" w:right="11"/>
        <w:rPr>
          <w:rFonts w:ascii="Times New Roman" w:hAnsi="Times New Roman" w:cs="Times New Roman"/>
          <w:b/>
          <w:bCs/>
          <w:color w:val="202020"/>
          <w:shd w:val="clear" w:color="auto" w:fill="FFFFFF"/>
        </w:rPr>
      </w:pPr>
      <w:r w:rsidRPr="00987DA0">
        <w:rPr>
          <w:rFonts w:ascii="Times New Roman" w:hAnsi="Times New Roman" w:cs="Times New Roman"/>
          <w:bCs/>
          <w:color w:val="202020"/>
          <w:shd w:val="clear" w:color="auto" w:fill="FFFFFF"/>
        </w:rPr>
        <w:t xml:space="preserve">Prodajna cijena akcija iz ove emisije, za akcionare koji koriste pravo preče kupovine, se utvrđuje u iznosu od </w:t>
      </w:r>
      <w:r w:rsidR="007257A2">
        <w:rPr>
          <w:rFonts w:ascii="Times New Roman" w:hAnsi="Times New Roman" w:cs="Times New Roman"/>
          <w:bCs/>
          <w:color w:val="202020"/>
          <w:shd w:val="clear" w:color="auto" w:fill="FFFFFF"/>
        </w:rPr>
        <w:t>1,00</w:t>
      </w:r>
      <w:r w:rsidRPr="00987DA0">
        <w:rPr>
          <w:rFonts w:ascii="Times New Roman" w:hAnsi="Times New Roman" w:cs="Times New Roman"/>
          <w:bCs/>
          <w:color w:val="202020"/>
          <w:shd w:val="clear" w:color="auto" w:fill="FFFFFF"/>
        </w:rPr>
        <w:t xml:space="preserve"> KM po jednoj akciji.</w:t>
      </w:r>
    </w:p>
    <w:p w14:paraId="45895166" w14:textId="77777777" w:rsidR="00987DA0" w:rsidRPr="00987DA0" w:rsidRDefault="00987DA0" w:rsidP="00987DA0">
      <w:pPr>
        <w:pStyle w:val="ListParagraph"/>
        <w:tabs>
          <w:tab w:val="left" w:pos="0"/>
        </w:tabs>
        <w:spacing w:before="240" w:after="240"/>
        <w:ind w:left="0" w:right="11"/>
        <w:rPr>
          <w:rFonts w:ascii="Times New Roman" w:hAnsi="Times New Roman" w:cs="Times New Roman"/>
          <w:b/>
          <w:bCs/>
          <w:color w:val="202020"/>
          <w:shd w:val="clear" w:color="auto" w:fill="FFFFFF"/>
        </w:rPr>
      </w:pPr>
    </w:p>
    <w:p w14:paraId="4004A16D" w14:textId="19925BC8" w:rsidR="00987DA0" w:rsidRPr="00987DA0" w:rsidRDefault="00987DA0" w:rsidP="00987DA0">
      <w:pPr>
        <w:pStyle w:val="ListParagraph"/>
        <w:tabs>
          <w:tab w:val="left" w:pos="0"/>
        </w:tabs>
        <w:ind w:left="0" w:right="11"/>
        <w:rPr>
          <w:rFonts w:ascii="Times New Roman" w:hAnsi="Times New Roman" w:cs="Times New Roman"/>
          <w:b/>
          <w:bCs/>
        </w:rPr>
      </w:pPr>
      <w:r w:rsidRPr="00987DA0">
        <w:rPr>
          <w:rFonts w:ascii="Times New Roman" w:hAnsi="Times New Roman" w:cs="Times New Roman"/>
          <w:bCs/>
          <w:color w:val="202020"/>
          <w:shd w:val="clear" w:color="auto" w:fill="FFFFFF"/>
        </w:rPr>
        <w:t xml:space="preserve">Cijena za preostale akcije, nakon isteka roka za korišćenje prava preče kupovine, formiraće se na Berzi, po principu višestrukih cijena (kontinuirana javna ponuda), s tim da će prodajni nalog biti unesen po cijeni od </w:t>
      </w:r>
      <w:r w:rsidR="007257A2">
        <w:rPr>
          <w:rFonts w:ascii="Times New Roman" w:hAnsi="Times New Roman" w:cs="Times New Roman"/>
          <w:bCs/>
          <w:color w:val="202020"/>
          <w:shd w:val="clear" w:color="auto" w:fill="FFFFFF"/>
        </w:rPr>
        <w:t>1,00</w:t>
      </w:r>
      <w:r w:rsidRPr="00987DA0">
        <w:rPr>
          <w:rFonts w:ascii="Times New Roman" w:hAnsi="Times New Roman" w:cs="Times New Roman"/>
          <w:bCs/>
          <w:color w:val="202020"/>
          <w:shd w:val="clear" w:color="auto" w:fill="FFFFFF"/>
        </w:rPr>
        <w:t xml:space="preserve"> KM. Standard povećanja cijene je 0,01 KM.</w:t>
      </w:r>
    </w:p>
    <w:p w14:paraId="0CB1B79B" w14:textId="77777777" w:rsidR="00987DA0" w:rsidRPr="00987DA0" w:rsidRDefault="00987DA0" w:rsidP="00987DA0">
      <w:pPr>
        <w:ind w:right="11"/>
        <w:jc w:val="both"/>
        <w:rPr>
          <w:b/>
          <w:lang w:val="sr-Latn-BA"/>
        </w:rPr>
      </w:pPr>
    </w:p>
    <w:p w14:paraId="18DD6318" w14:textId="77777777" w:rsidR="00987DA0" w:rsidRPr="00987DA0" w:rsidRDefault="00987DA0" w:rsidP="00987DA0">
      <w:pPr>
        <w:pStyle w:val="ListParagraph"/>
        <w:numPr>
          <w:ilvl w:val="0"/>
          <w:numId w:val="11"/>
        </w:numPr>
        <w:ind w:right="11"/>
        <w:jc w:val="center"/>
        <w:rPr>
          <w:rFonts w:ascii="Times New Roman" w:hAnsi="Times New Roman" w:cs="Times New Roman"/>
          <w:b/>
        </w:rPr>
      </w:pPr>
    </w:p>
    <w:p w14:paraId="002F4286" w14:textId="2EB913D7" w:rsidR="00987DA0" w:rsidRPr="00987DA0" w:rsidRDefault="007257A2" w:rsidP="00987DA0">
      <w:pPr>
        <w:ind w:right="11"/>
        <w:jc w:val="both"/>
        <w:rPr>
          <w:b/>
        </w:rPr>
      </w:pPr>
      <w:r>
        <w:rPr>
          <w:lang w:val="sr-Latn-BA"/>
        </w:rPr>
        <w:t>Druga</w:t>
      </w:r>
      <w:r w:rsidR="00987DA0" w:rsidRPr="00987DA0">
        <w:rPr>
          <w:lang w:val="sr-Cyrl-BA"/>
        </w:rPr>
        <w:t xml:space="preserve"> emisija akcija smatraće se uspješnom ako u roku od </w:t>
      </w:r>
      <w:r w:rsidR="00987DA0" w:rsidRPr="00987DA0">
        <w:rPr>
          <w:lang w:val="sr-Latn-BA"/>
        </w:rPr>
        <w:t xml:space="preserve">22 </w:t>
      </w:r>
      <w:r w:rsidR="00987DA0" w:rsidRPr="00987DA0">
        <w:rPr>
          <w:lang w:val="sr-Cyrl-BA"/>
        </w:rPr>
        <w:t>dana</w:t>
      </w:r>
      <w:r w:rsidR="00987DA0" w:rsidRPr="00987DA0">
        <w:rPr>
          <w:lang w:val="sr-Latn-BA"/>
        </w:rPr>
        <w:t>,</w:t>
      </w:r>
      <w:r w:rsidR="00987DA0" w:rsidRPr="00987DA0">
        <w:rPr>
          <w:lang w:val="sr-Cyrl-BA"/>
        </w:rPr>
        <w:t xml:space="preserve"> predviđenom za upis i uplatu akcija</w:t>
      </w:r>
      <w:r w:rsidR="00987DA0" w:rsidRPr="00987DA0">
        <w:rPr>
          <w:lang w:val="sr-Latn-BA"/>
        </w:rPr>
        <w:t>,</w:t>
      </w:r>
      <w:r w:rsidR="00987DA0" w:rsidRPr="00987DA0">
        <w:rPr>
          <w:lang w:val="sr-Cyrl-BA"/>
        </w:rPr>
        <w:t xml:space="preserve"> bude upisano i uplaćeno</w:t>
      </w:r>
      <w:r w:rsidR="00987DA0" w:rsidRPr="00987DA0">
        <w:rPr>
          <w:lang w:val="sr-Latn-BA"/>
        </w:rPr>
        <w:t xml:space="preserve"> minimalno 60</w:t>
      </w:r>
      <w:r w:rsidR="00987DA0" w:rsidRPr="00987DA0">
        <w:rPr>
          <w:lang w:val="sr-Cyrl-BA"/>
        </w:rPr>
        <w:t xml:space="preserve">% od ukupnog broja </w:t>
      </w:r>
      <w:r w:rsidR="00987DA0" w:rsidRPr="00987DA0">
        <w:t xml:space="preserve">ponuđenih </w:t>
      </w:r>
      <w:r w:rsidR="00987DA0" w:rsidRPr="00987DA0">
        <w:rPr>
          <w:lang w:val="sr-Cyrl-BA"/>
        </w:rPr>
        <w:t>akcija</w:t>
      </w:r>
      <w:r w:rsidR="00987DA0" w:rsidRPr="00987DA0">
        <w:t>.</w:t>
      </w:r>
    </w:p>
    <w:p w14:paraId="3017C800" w14:textId="77777777" w:rsidR="00987DA0" w:rsidRPr="00987DA0" w:rsidRDefault="00987DA0" w:rsidP="00987DA0">
      <w:pPr>
        <w:ind w:right="11"/>
        <w:jc w:val="both"/>
        <w:rPr>
          <w:b/>
          <w:lang w:val="sr-Latn-BA"/>
        </w:rPr>
      </w:pPr>
    </w:p>
    <w:p w14:paraId="1B60801F" w14:textId="77777777" w:rsidR="00987DA0" w:rsidRPr="00987DA0" w:rsidRDefault="00987DA0" w:rsidP="00987DA0">
      <w:pPr>
        <w:pStyle w:val="ListParagraph"/>
        <w:numPr>
          <w:ilvl w:val="0"/>
          <w:numId w:val="11"/>
        </w:numPr>
        <w:tabs>
          <w:tab w:val="left" w:pos="0"/>
        </w:tabs>
        <w:ind w:right="11"/>
        <w:jc w:val="center"/>
        <w:rPr>
          <w:rFonts w:ascii="Times New Roman" w:hAnsi="Times New Roman" w:cs="Times New Roman"/>
          <w:b/>
        </w:rPr>
      </w:pPr>
    </w:p>
    <w:p w14:paraId="601FD823" w14:textId="34BE1DC8" w:rsidR="00987DA0" w:rsidRPr="00987DA0" w:rsidRDefault="00987DA0" w:rsidP="00987DA0">
      <w:pPr>
        <w:tabs>
          <w:tab w:val="left" w:pos="0"/>
        </w:tabs>
        <w:ind w:right="11"/>
        <w:jc w:val="both"/>
        <w:rPr>
          <w:b/>
          <w:lang w:val="sr-Latn-BA"/>
        </w:rPr>
      </w:pPr>
      <w:r w:rsidRPr="00987DA0">
        <w:rPr>
          <w:lang w:val="sr-Latn-BA"/>
        </w:rPr>
        <w:t>Svako lice koje je upisalo ili uplatilo akcije na osnovu podataka iz prospekta prije njegove izmjene ima pravo da u roku od tri radna dana od dana prijema izmjena prospekta otkaže upis akcija i zatraži povrat uplaćenog iznosa</w:t>
      </w:r>
      <w:r w:rsidR="00E42DDA">
        <w:rPr>
          <w:lang w:val="sr-Latn-BA"/>
        </w:rPr>
        <w:t xml:space="preserve">. </w:t>
      </w:r>
      <w:r w:rsidRPr="00987DA0">
        <w:rPr>
          <w:lang w:val="sr-Latn-BA"/>
        </w:rPr>
        <w:t>Uplaćeni iznos biće vraćen kupcu u roku od tri dana od dana prijema zahtjeva za povrat sredstava.</w:t>
      </w:r>
    </w:p>
    <w:p w14:paraId="40B39D5E" w14:textId="77777777" w:rsidR="00987DA0" w:rsidRPr="00987DA0" w:rsidRDefault="00987DA0" w:rsidP="00987DA0">
      <w:pPr>
        <w:tabs>
          <w:tab w:val="left" w:pos="0"/>
        </w:tabs>
        <w:ind w:right="11"/>
        <w:jc w:val="both"/>
        <w:rPr>
          <w:b/>
          <w:lang w:val="sr-Latn-BA"/>
        </w:rPr>
      </w:pPr>
    </w:p>
    <w:p w14:paraId="45A8F325" w14:textId="0F0EB5A0" w:rsidR="00987DA0" w:rsidRDefault="00987DA0" w:rsidP="00987DA0">
      <w:pPr>
        <w:ind w:right="11"/>
        <w:jc w:val="both"/>
        <w:rPr>
          <w:lang w:val="sr-Latn-BA"/>
        </w:rPr>
      </w:pPr>
      <w:r w:rsidRPr="00987DA0">
        <w:rPr>
          <w:lang w:val="sr-Latn-BA"/>
        </w:rPr>
        <w:t xml:space="preserve">Ukoliko upis i uplаtа akcija iz </w:t>
      </w:r>
      <w:r w:rsidR="007257A2">
        <w:rPr>
          <w:lang w:val="sr-Latn-BA"/>
        </w:rPr>
        <w:t>druge</w:t>
      </w:r>
      <w:r w:rsidRPr="00987DA0">
        <w:rPr>
          <w:lang w:val="sr-Latn-BA"/>
        </w:rPr>
        <w:t xml:space="preserve"> emisije ne budu izvršeni u sklаdu sа članom 12. ove Odluke, upis аkcijа se poništаvа, а sve izvršene uplаte, biće vrаćene kupcima u roku od tri dаnа od dаnа prijemа Rješenjа Komisije zа hаrtije od vrijednosti Republike Srpske.</w:t>
      </w:r>
    </w:p>
    <w:p w14:paraId="3CCA05D6" w14:textId="77777777" w:rsidR="00E42DDA" w:rsidRPr="00987DA0" w:rsidRDefault="00E42DDA" w:rsidP="00987DA0">
      <w:pPr>
        <w:ind w:right="11"/>
        <w:jc w:val="both"/>
        <w:rPr>
          <w:b/>
          <w:lang w:val="sr-Latn-BA"/>
        </w:rPr>
      </w:pPr>
    </w:p>
    <w:p w14:paraId="7D849DAA" w14:textId="77777777" w:rsidR="00987DA0" w:rsidRPr="00987DA0" w:rsidRDefault="00987DA0" w:rsidP="00987DA0">
      <w:pPr>
        <w:ind w:right="11"/>
        <w:jc w:val="both"/>
        <w:rPr>
          <w:b/>
          <w:lang w:val="sr-Latn-BA"/>
        </w:rPr>
      </w:pPr>
    </w:p>
    <w:p w14:paraId="63A1910B" w14:textId="77777777" w:rsidR="00987DA0" w:rsidRPr="00987DA0" w:rsidRDefault="00987DA0" w:rsidP="00987DA0">
      <w:pPr>
        <w:pStyle w:val="ListParagraph"/>
        <w:numPr>
          <w:ilvl w:val="0"/>
          <w:numId w:val="11"/>
        </w:numPr>
        <w:tabs>
          <w:tab w:val="left" w:pos="0"/>
        </w:tabs>
        <w:ind w:right="11"/>
        <w:jc w:val="center"/>
        <w:rPr>
          <w:rFonts w:ascii="Times New Roman" w:hAnsi="Times New Roman" w:cs="Times New Roman"/>
          <w:b/>
        </w:rPr>
      </w:pPr>
      <w:r w:rsidRPr="00987DA0">
        <w:rPr>
          <w:rFonts w:ascii="Times New Roman" w:hAnsi="Times New Roman" w:cs="Times New Roman"/>
        </w:rPr>
        <w:lastRenderedPageBreak/>
        <w:t xml:space="preserve">  </w:t>
      </w:r>
    </w:p>
    <w:p w14:paraId="484650CD" w14:textId="77777777" w:rsidR="00987DA0" w:rsidRPr="00987DA0" w:rsidRDefault="00987DA0" w:rsidP="00987DA0">
      <w:pPr>
        <w:tabs>
          <w:tab w:val="left" w:pos="0"/>
        </w:tabs>
        <w:ind w:right="11"/>
        <w:jc w:val="center"/>
        <w:rPr>
          <w:lang w:val="sr-Latn-BA"/>
        </w:rPr>
      </w:pPr>
    </w:p>
    <w:p w14:paraId="4C96A156" w14:textId="77777777" w:rsidR="00987DA0" w:rsidRPr="00987DA0" w:rsidRDefault="00987DA0" w:rsidP="00987DA0">
      <w:pPr>
        <w:tabs>
          <w:tab w:val="left" w:pos="0"/>
        </w:tabs>
        <w:ind w:right="11"/>
        <w:jc w:val="both"/>
        <w:rPr>
          <w:lang w:val="sr-Latn-BA"/>
        </w:rPr>
      </w:pPr>
      <w:r w:rsidRPr="00987DA0">
        <w:rPr>
          <w:lang w:val="sr-Latn-BA"/>
        </w:rPr>
        <w:t>Ako se prije isteka roka za upis i uplatu akcija, upišu i uplate sve ponuđene akcije, Emitent može da završi javnu ponudu.</w:t>
      </w:r>
    </w:p>
    <w:p w14:paraId="49B84A6A" w14:textId="77777777" w:rsidR="00987DA0" w:rsidRPr="00987DA0" w:rsidRDefault="00987DA0" w:rsidP="00987DA0">
      <w:pPr>
        <w:tabs>
          <w:tab w:val="left" w:pos="0"/>
        </w:tabs>
        <w:ind w:right="11"/>
        <w:jc w:val="center"/>
        <w:rPr>
          <w:lang w:val="sr-Latn-BA"/>
        </w:rPr>
      </w:pPr>
    </w:p>
    <w:p w14:paraId="3E0BAD1C" w14:textId="77777777" w:rsidR="00987DA0" w:rsidRPr="00987DA0" w:rsidRDefault="00987DA0" w:rsidP="00987DA0">
      <w:pPr>
        <w:tabs>
          <w:tab w:val="left" w:pos="0"/>
        </w:tabs>
        <w:ind w:right="11"/>
        <w:jc w:val="both"/>
        <w:rPr>
          <w:lang w:val="sr-Latn-BA"/>
        </w:rPr>
      </w:pPr>
      <w:r w:rsidRPr="00987DA0">
        <w:rPr>
          <w:lang w:val="sr-Latn-BA"/>
        </w:rPr>
        <w:t>Emitent zadržava pravo da može da završi javnu ponudu prije isteka roka za upis i uplatu akcija i u slučaju da su vlasnici akcija Emitenta, koristeći pravo preče kupovine, upisali i uplatili akcije nove emisije najmanje u procentu propisanom za uspješnost emisije (60%).</w:t>
      </w:r>
    </w:p>
    <w:p w14:paraId="60FCD486" w14:textId="77777777" w:rsidR="00987DA0" w:rsidRPr="00987DA0" w:rsidRDefault="00987DA0" w:rsidP="00987DA0">
      <w:pPr>
        <w:tabs>
          <w:tab w:val="left" w:pos="0"/>
        </w:tabs>
        <w:ind w:right="11"/>
        <w:jc w:val="both"/>
        <w:rPr>
          <w:lang w:val="sr-Latn-BA"/>
        </w:rPr>
      </w:pPr>
    </w:p>
    <w:p w14:paraId="5E721236" w14:textId="77777777" w:rsidR="00987DA0" w:rsidRPr="00987DA0" w:rsidRDefault="00987DA0" w:rsidP="00987DA0">
      <w:pPr>
        <w:tabs>
          <w:tab w:val="left" w:pos="0"/>
        </w:tabs>
        <w:ind w:right="11"/>
        <w:jc w:val="both"/>
        <w:rPr>
          <w:lang w:val="sr-Latn-BA"/>
        </w:rPr>
      </w:pPr>
      <w:r w:rsidRPr="00987DA0">
        <w:rPr>
          <w:lang w:val="sr-Latn-BA"/>
        </w:rPr>
        <w:t>Ovom odlukom ovlašćuje se Upravni odbor Emitenta da preuzme sve potrebne radnje za završetak javne ponude u slučajevima iz stava 1 i 2 ovog člana.</w:t>
      </w:r>
    </w:p>
    <w:p w14:paraId="59319348" w14:textId="77777777" w:rsidR="00987DA0" w:rsidRPr="00987DA0" w:rsidRDefault="00987DA0" w:rsidP="00987DA0">
      <w:pPr>
        <w:ind w:right="11"/>
        <w:jc w:val="both"/>
        <w:rPr>
          <w:b/>
        </w:rPr>
      </w:pPr>
    </w:p>
    <w:p w14:paraId="5DEC200C" w14:textId="77777777" w:rsidR="00987DA0" w:rsidRPr="00987DA0" w:rsidRDefault="00987DA0" w:rsidP="00987DA0">
      <w:pPr>
        <w:pStyle w:val="ListParagraph"/>
        <w:numPr>
          <w:ilvl w:val="0"/>
          <w:numId w:val="11"/>
        </w:numPr>
        <w:shd w:val="clear" w:color="auto" w:fill="FFFFFF"/>
        <w:ind w:right="11"/>
        <w:jc w:val="center"/>
        <w:rPr>
          <w:rFonts w:ascii="Times New Roman" w:hAnsi="Times New Roman" w:cs="Times New Roman"/>
          <w:b/>
        </w:rPr>
      </w:pPr>
    </w:p>
    <w:p w14:paraId="469665F8" w14:textId="77777777" w:rsidR="00987DA0" w:rsidRPr="00987DA0" w:rsidRDefault="00987DA0" w:rsidP="00987DA0">
      <w:pPr>
        <w:shd w:val="clear" w:color="auto" w:fill="FFFFFF"/>
        <w:ind w:right="11"/>
        <w:jc w:val="both"/>
        <w:rPr>
          <w:b/>
          <w:lang w:val="sr-Latn-BA"/>
        </w:rPr>
      </w:pPr>
      <w:r w:rsidRPr="00987DA0">
        <w:rPr>
          <w:lang w:val="sr-Latn-BA"/>
        </w:rPr>
        <w:t xml:space="preserve">Emitent zadržava pravo na odustajanje od javne ponude akcija i prije isteka utvrđenog roka za njihov upis i uplatu. </w:t>
      </w:r>
    </w:p>
    <w:p w14:paraId="12D2AD5E" w14:textId="77777777" w:rsidR="00987DA0" w:rsidRPr="00987DA0" w:rsidRDefault="00987DA0" w:rsidP="00987DA0">
      <w:pPr>
        <w:shd w:val="clear" w:color="auto" w:fill="FFFFFF"/>
        <w:ind w:right="11"/>
        <w:jc w:val="both"/>
        <w:rPr>
          <w:b/>
          <w:lang w:val="sr-Latn-BA"/>
        </w:rPr>
      </w:pPr>
    </w:p>
    <w:p w14:paraId="3751B38F" w14:textId="77777777" w:rsidR="00987DA0" w:rsidRPr="00987DA0" w:rsidRDefault="00987DA0" w:rsidP="00987DA0">
      <w:pPr>
        <w:shd w:val="clear" w:color="auto" w:fill="FFFFFF"/>
        <w:ind w:right="11"/>
        <w:jc w:val="both"/>
        <w:rPr>
          <w:lang w:val="sr-Latn-BA"/>
        </w:rPr>
      </w:pPr>
      <w:r w:rsidRPr="00987DA0">
        <w:rPr>
          <w:lang w:val="sr-Latn-BA"/>
        </w:rPr>
        <w:t>Ovom odlukom ovlašćuje se Upravni odbor Emitenta da preuzme sve potrebne radnje za eventualno odustajanje od javne ponude.</w:t>
      </w:r>
    </w:p>
    <w:p w14:paraId="54624891" w14:textId="77777777" w:rsidR="00987DA0" w:rsidRPr="00987DA0" w:rsidRDefault="00987DA0" w:rsidP="00987DA0">
      <w:pPr>
        <w:shd w:val="clear" w:color="auto" w:fill="FFFFFF"/>
        <w:ind w:right="11"/>
        <w:jc w:val="both"/>
        <w:rPr>
          <w:lang w:val="sr-Latn-BA"/>
        </w:rPr>
      </w:pPr>
    </w:p>
    <w:p w14:paraId="5986D7CA" w14:textId="77777777" w:rsidR="00987DA0" w:rsidRPr="00987DA0" w:rsidRDefault="00987DA0" w:rsidP="00987DA0">
      <w:pPr>
        <w:pStyle w:val="ListParagraph"/>
        <w:numPr>
          <w:ilvl w:val="0"/>
          <w:numId w:val="11"/>
        </w:numPr>
        <w:ind w:right="11"/>
        <w:jc w:val="center"/>
        <w:rPr>
          <w:rFonts w:ascii="Times New Roman" w:hAnsi="Times New Roman" w:cs="Times New Roman"/>
          <w:b/>
        </w:rPr>
      </w:pPr>
    </w:p>
    <w:p w14:paraId="2511368D" w14:textId="7711BE61" w:rsidR="00987DA0" w:rsidRPr="00987DA0" w:rsidRDefault="00987DA0" w:rsidP="00987DA0">
      <w:pPr>
        <w:ind w:right="11"/>
        <w:jc w:val="both"/>
        <w:rPr>
          <w:b/>
          <w:lang w:val="sr-Latn-BA"/>
        </w:rPr>
      </w:pPr>
      <w:r w:rsidRPr="00987DA0">
        <w:rPr>
          <w:lang w:val="sr-Latn-BA"/>
        </w:rPr>
        <w:t xml:space="preserve">Agent </w:t>
      </w:r>
      <w:r w:rsidR="007257A2">
        <w:rPr>
          <w:lang w:val="sr-Latn-BA"/>
        </w:rPr>
        <w:t>druge</w:t>
      </w:r>
      <w:r w:rsidRPr="00987DA0">
        <w:rPr>
          <w:lang w:val="sr-Latn-BA"/>
        </w:rPr>
        <w:t xml:space="preserve"> emisije akcija je „Advantis Broker“ a.d. Banja Luka.</w:t>
      </w:r>
    </w:p>
    <w:p w14:paraId="206694B8" w14:textId="77777777" w:rsidR="00987DA0" w:rsidRPr="00987DA0" w:rsidRDefault="00987DA0" w:rsidP="00987DA0">
      <w:pPr>
        <w:ind w:right="11"/>
        <w:jc w:val="both"/>
        <w:rPr>
          <w:b/>
          <w:lang w:val="sr-Latn-BA"/>
        </w:rPr>
      </w:pPr>
    </w:p>
    <w:p w14:paraId="1A6413FD" w14:textId="77777777" w:rsidR="00987DA0" w:rsidRPr="00987DA0" w:rsidRDefault="00987DA0" w:rsidP="00987DA0">
      <w:pPr>
        <w:pStyle w:val="ListParagraph"/>
        <w:numPr>
          <w:ilvl w:val="0"/>
          <w:numId w:val="11"/>
        </w:numPr>
        <w:tabs>
          <w:tab w:val="left" w:pos="0"/>
        </w:tabs>
        <w:ind w:right="11"/>
        <w:jc w:val="center"/>
        <w:rPr>
          <w:rFonts w:ascii="Times New Roman" w:hAnsi="Times New Roman" w:cs="Times New Roman"/>
          <w:b/>
        </w:rPr>
      </w:pPr>
    </w:p>
    <w:p w14:paraId="0C5F8CC8" w14:textId="67854936" w:rsidR="00987DA0" w:rsidRPr="00987DA0" w:rsidRDefault="00987DA0" w:rsidP="00987DA0">
      <w:pPr>
        <w:ind w:right="11"/>
        <w:jc w:val="both"/>
        <w:rPr>
          <w:lang w:val="sr-Latn-BA"/>
        </w:rPr>
      </w:pPr>
      <w:r w:rsidRPr="00987DA0">
        <w:rPr>
          <w:lang w:val="sr-Cyrl-BA"/>
        </w:rPr>
        <w:t xml:space="preserve">Za sprovođenje ove Odluke nadležan je Direktor </w:t>
      </w:r>
      <w:r w:rsidRPr="00987DA0">
        <w:rPr>
          <w:lang w:val="sr-Latn-BA"/>
        </w:rPr>
        <w:t>Emitenta</w:t>
      </w:r>
      <w:r w:rsidRPr="00987DA0">
        <w:rPr>
          <w:lang w:val="sr-Cyrl-BA"/>
        </w:rPr>
        <w:t>,</w:t>
      </w:r>
      <w:r w:rsidRPr="00987DA0">
        <w:rPr>
          <w:lang w:val="sr-Latn-BA"/>
        </w:rPr>
        <w:t xml:space="preserve"> </w:t>
      </w:r>
      <w:r w:rsidR="007257A2">
        <w:rPr>
          <w:lang w:val="sr-Latn-BA"/>
        </w:rPr>
        <w:t>Vesna Todorović</w:t>
      </w:r>
      <w:r w:rsidRPr="00987DA0">
        <w:rPr>
          <w:lang w:val="sr-Latn-BA"/>
        </w:rPr>
        <w:t>.</w:t>
      </w:r>
    </w:p>
    <w:p w14:paraId="48A88D27" w14:textId="77777777" w:rsidR="00987DA0" w:rsidRPr="00987DA0" w:rsidRDefault="00987DA0" w:rsidP="00987DA0">
      <w:pPr>
        <w:ind w:right="11"/>
        <w:jc w:val="both"/>
        <w:rPr>
          <w:lang w:val="sr-Latn-BA"/>
        </w:rPr>
      </w:pPr>
    </w:p>
    <w:p w14:paraId="053BE95D" w14:textId="77777777" w:rsidR="00987DA0" w:rsidRPr="00987DA0" w:rsidRDefault="00987DA0" w:rsidP="00987DA0">
      <w:pPr>
        <w:pStyle w:val="ListParagraph"/>
        <w:numPr>
          <w:ilvl w:val="0"/>
          <w:numId w:val="11"/>
        </w:numPr>
        <w:ind w:right="11"/>
        <w:jc w:val="center"/>
        <w:rPr>
          <w:rFonts w:ascii="Times New Roman" w:hAnsi="Times New Roman" w:cs="Times New Roman"/>
          <w:b/>
        </w:rPr>
      </w:pPr>
    </w:p>
    <w:p w14:paraId="6674403E" w14:textId="74D2DED5" w:rsidR="00987DA0" w:rsidRPr="00987DA0" w:rsidRDefault="00987DA0" w:rsidP="00987DA0">
      <w:pPr>
        <w:ind w:right="11"/>
        <w:jc w:val="both"/>
        <w:rPr>
          <w:b/>
        </w:rPr>
      </w:pPr>
      <w:r w:rsidRPr="00987DA0">
        <w:rPr>
          <w:lang w:val="sr-Cyrl-BA"/>
        </w:rPr>
        <w:t>Ovlašćuje se Upravni odbor</w:t>
      </w:r>
      <w:r w:rsidRPr="00987DA0">
        <w:rPr>
          <w:lang w:val="bs-Latn-BA"/>
        </w:rPr>
        <w:t xml:space="preserve"> </w:t>
      </w:r>
      <w:r w:rsidRPr="00987DA0">
        <w:rPr>
          <w:lang w:val="sr-Latn-BA"/>
        </w:rPr>
        <w:t xml:space="preserve">Emitenta </w:t>
      </w:r>
      <w:r w:rsidRPr="00987DA0">
        <w:rPr>
          <w:lang w:val="sr-Cyrl-BA"/>
        </w:rPr>
        <w:t xml:space="preserve">da može vršiti izmjene i dopune ove Odluke u skladu sa eventualnim primjedbama Komisije za hartije od vrijednosti </w:t>
      </w:r>
      <w:r w:rsidRPr="00987DA0">
        <w:t xml:space="preserve">Republike Srpske, Centralnog registra hartija od vrijednosti a.d. Banja Luka, </w:t>
      </w:r>
      <w:r w:rsidR="00E42DDA">
        <w:t xml:space="preserve">Agencije za bankarstvo Republike Srpske, </w:t>
      </w:r>
      <w:r w:rsidRPr="00987DA0">
        <w:t>nadležnog suda ili drugog nadležnog organa.</w:t>
      </w:r>
    </w:p>
    <w:p w14:paraId="14D171DA" w14:textId="77777777" w:rsidR="00987DA0" w:rsidRPr="00987DA0" w:rsidRDefault="00987DA0" w:rsidP="00987DA0">
      <w:pPr>
        <w:ind w:right="11"/>
        <w:jc w:val="both"/>
        <w:rPr>
          <w:b/>
        </w:rPr>
      </w:pPr>
    </w:p>
    <w:p w14:paraId="42097E2E" w14:textId="77777777" w:rsidR="00987DA0" w:rsidRPr="00987DA0" w:rsidRDefault="00987DA0" w:rsidP="00987DA0">
      <w:pPr>
        <w:pStyle w:val="ListParagraph"/>
        <w:numPr>
          <w:ilvl w:val="0"/>
          <w:numId w:val="11"/>
        </w:numPr>
        <w:ind w:right="11"/>
        <w:jc w:val="center"/>
        <w:rPr>
          <w:rFonts w:ascii="Times New Roman" w:hAnsi="Times New Roman" w:cs="Times New Roman"/>
          <w:b/>
          <w:lang w:val="sr-Latn-CS"/>
        </w:rPr>
      </w:pPr>
      <w:r w:rsidRPr="00987DA0">
        <w:rPr>
          <w:rFonts w:ascii="Times New Roman" w:hAnsi="Times New Roman" w:cs="Times New Roman"/>
          <w:lang w:val="sr-Latn-CS"/>
        </w:rPr>
        <w:t xml:space="preserve"> </w:t>
      </w:r>
    </w:p>
    <w:p w14:paraId="2E0E4CAD" w14:textId="77777777" w:rsidR="00064F1D" w:rsidRPr="00064F1D" w:rsidRDefault="00064F1D" w:rsidP="00064F1D">
      <w:pPr>
        <w:tabs>
          <w:tab w:val="left" w:pos="0"/>
        </w:tabs>
        <w:ind w:right="11"/>
        <w:jc w:val="both"/>
        <w:rPr>
          <w:lang w:val="sr-Cyrl-BA"/>
        </w:rPr>
      </w:pPr>
      <w:r w:rsidRPr="00064F1D">
        <w:rPr>
          <w:lang w:val="sr-Cyrl-BA"/>
        </w:rPr>
        <w:t>Ovlašćuje se Upravni odbor Emitenta da, pozivom na ovu Odluku, a u vezi sa Rješenjem o uspješnosti II (druge) emisije redovnih (običnih) akcija Komisije za hartije od vrijednosti RS izvrši izmjene Statuta i Ugovora o osnivanju Društva u dijelu osnovnog kapitala ukoliko u navedenom rješenju iznos upisanih i uplaćenih akcija bude manji od broja emitovanih akcija ovom odlukom (ako bude upisano i uplaćeno manje od 100% akcija koje se nude ovom emisijom).</w:t>
      </w:r>
    </w:p>
    <w:p w14:paraId="75A042FD" w14:textId="77777777" w:rsidR="00064F1D" w:rsidRPr="00064F1D" w:rsidRDefault="00064F1D" w:rsidP="00064F1D">
      <w:pPr>
        <w:tabs>
          <w:tab w:val="left" w:pos="0"/>
        </w:tabs>
        <w:ind w:right="11"/>
        <w:jc w:val="both"/>
        <w:rPr>
          <w:lang w:val="sr-Cyrl-BA"/>
        </w:rPr>
      </w:pPr>
    </w:p>
    <w:p w14:paraId="250741BA" w14:textId="2036E251" w:rsidR="00987DA0" w:rsidRDefault="00064F1D" w:rsidP="00064F1D">
      <w:pPr>
        <w:tabs>
          <w:tab w:val="left" w:pos="0"/>
        </w:tabs>
        <w:ind w:right="11"/>
        <w:jc w:val="both"/>
        <w:rPr>
          <w:lang w:val="sr-Latn-BA"/>
        </w:rPr>
      </w:pPr>
      <w:r w:rsidRPr="00064F1D">
        <w:rPr>
          <w:lang w:val="sr-Cyrl-BA"/>
        </w:rPr>
        <w:t>U slučaju izmjena Statuta i Ugovora o osnivanju iz prethodnog stava, te izmjene Statuta i Ugovora o osnivanju trebaju se notarski potvrditi.</w:t>
      </w:r>
    </w:p>
    <w:p w14:paraId="13630324" w14:textId="77777777" w:rsidR="00064F1D" w:rsidRPr="00064F1D" w:rsidRDefault="00064F1D" w:rsidP="00064F1D">
      <w:pPr>
        <w:tabs>
          <w:tab w:val="left" w:pos="0"/>
        </w:tabs>
        <w:ind w:right="11"/>
        <w:jc w:val="both"/>
        <w:rPr>
          <w:b/>
          <w:lang w:val="sr-Latn-BA"/>
        </w:rPr>
      </w:pPr>
    </w:p>
    <w:p w14:paraId="22714D6C" w14:textId="305A41C6" w:rsidR="00987DA0" w:rsidRPr="00E42DDA" w:rsidRDefault="00987DA0" w:rsidP="00987DA0">
      <w:pPr>
        <w:pStyle w:val="ListParagraph"/>
        <w:numPr>
          <w:ilvl w:val="0"/>
          <w:numId w:val="11"/>
        </w:numPr>
        <w:tabs>
          <w:tab w:val="left" w:pos="0"/>
        </w:tabs>
        <w:ind w:right="11"/>
        <w:jc w:val="center"/>
        <w:rPr>
          <w:rFonts w:ascii="Times New Roman" w:hAnsi="Times New Roman" w:cs="Times New Roman"/>
          <w:b/>
          <w:lang w:val="sr-Latn-CS"/>
        </w:rPr>
      </w:pPr>
      <w:r w:rsidRPr="00987DA0">
        <w:rPr>
          <w:rFonts w:ascii="Times New Roman" w:hAnsi="Times New Roman" w:cs="Times New Roman"/>
          <w:lang w:val="sr-Latn-CS"/>
        </w:rPr>
        <w:t xml:space="preserve"> </w:t>
      </w:r>
      <w:r w:rsidR="00E42DDA">
        <w:rPr>
          <w:rFonts w:ascii="Times New Roman" w:hAnsi="Times New Roman" w:cs="Times New Roman"/>
          <w:lang w:val="sr-Latn-CS"/>
        </w:rPr>
        <w:t xml:space="preserve">  </w:t>
      </w:r>
    </w:p>
    <w:p w14:paraId="5FFE3F34" w14:textId="2EEA6B6A" w:rsidR="00E42DDA" w:rsidRDefault="00E42DDA" w:rsidP="00E42DDA">
      <w:pPr>
        <w:pStyle w:val="ListParagraph"/>
        <w:tabs>
          <w:tab w:val="left" w:pos="0"/>
        </w:tabs>
        <w:ind w:left="0" w:right="11"/>
        <w:jc w:val="left"/>
        <w:rPr>
          <w:rFonts w:ascii="Times New Roman" w:hAnsi="Times New Roman" w:cs="Times New Roman"/>
          <w:lang w:val="sr-Latn-CS"/>
        </w:rPr>
      </w:pPr>
      <w:r>
        <w:rPr>
          <w:rFonts w:ascii="Times New Roman" w:hAnsi="Times New Roman" w:cs="Times New Roman"/>
          <w:lang w:val="sr-Latn-CS"/>
        </w:rPr>
        <w:t>Za donošenje ove Odluke potrebna je obična većina glasova prisutnih, zastupanih i akcionara koji glasaju pisanim putem.</w:t>
      </w:r>
    </w:p>
    <w:p w14:paraId="71E774E0" w14:textId="77777777" w:rsidR="00E42DDA" w:rsidRPr="00E42DDA" w:rsidRDefault="00E42DDA" w:rsidP="00E42DDA">
      <w:pPr>
        <w:pStyle w:val="ListParagraph"/>
        <w:tabs>
          <w:tab w:val="left" w:pos="0"/>
        </w:tabs>
        <w:ind w:left="0" w:right="11"/>
        <w:jc w:val="left"/>
        <w:rPr>
          <w:rFonts w:ascii="Times New Roman" w:hAnsi="Times New Roman" w:cs="Times New Roman"/>
          <w:b/>
          <w:lang w:val="sr-Latn-CS"/>
        </w:rPr>
      </w:pPr>
    </w:p>
    <w:p w14:paraId="2F06BBAA" w14:textId="77777777" w:rsidR="00E42DDA" w:rsidRPr="00987DA0" w:rsidRDefault="00E42DDA" w:rsidP="00987DA0">
      <w:pPr>
        <w:pStyle w:val="ListParagraph"/>
        <w:numPr>
          <w:ilvl w:val="0"/>
          <w:numId w:val="11"/>
        </w:numPr>
        <w:tabs>
          <w:tab w:val="left" w:pos="0"/>
        </w:tabs>
        <w:ind w:right="11"/>
        <w:jc w:val="center"/>
        <w:rPr>
          <w:rFonts w:ascii="Times New Roman" w:hAnsi="Times New Roman" w:cs="Times New Roman"/>
          <w:b/>
          <w:lang w:val="sr-Latn-CS"/>
        </w:rPr>
      </w:pPr>
    </w:p>
    <w:p w14:paraId="6FB3DB55" w14:textId="77777777" w:rsidR="00987DA0" w:rsidRPr="00987DA0" w:rsidRDefault="00987DA0" w:rsidP="00987DA0">
      <w:pPr>
        <w:ind w:right="11"/>
        <w:jc w:val="both"/>
        <w:rPr>
          <w:b/>
          <w:lang w:val="bs-Latn-BA"/>
        </w:rPr>
      </w:pPr>
      <w:r w:rsidRPr="00987DA0">
        <w:rPr>
          <w:lang w:val="sr-Cyrl-BA"/>
        </w:rPr>
        <w:t xml:space="preserve">Ova Odluka stupa na snagu danom </w:t>
      </w:r>
      <w:r w:rsidRPr="00987DA0">
        <w:rPr>
          <w:lang w:val="sr-Latn-BA"/>
        </w:rPr>
        <w:t>donošenja.</w:t>
      </w:r>
    </w:p>
    <w:p w14:paraId="7BE81F19" w14:textId="77777777" w:rsidR="00D16E30" w:rsidRPr="00987DA0" w:rsidRDefault="00D16E30" w:rsidP="00D16E30">
      <w:pPr>
        <w:jc w:val="both"/>
      </w:pPr>
    </w:p>
    <w:p w14:paraId="23998CE0" w14:textId="77777777" w:rsidR="001A7305" w:rsidRDefault="001A7305" w:rsidP="00D16E30">
      <w:pPr>
        <w:jc w:val="right"/>
        <w:rPr>
          <w:lang w:val="sr-Latn-BA"/>
        </w:rPr>
      </w:pPr>
    </w:p>
    <w:p w14:paraId="12FE049C" w14:textId="425A7725" w:rsidR="00D16E30" w:rsidRPr="00987DA0" w:rsidRDefault="00D16E30" w:rsidP="00D16E30">
      <w:pPr>
        <w:jc w:val="right"/>
        <w:rPr>
          <w:lang w:val="sr-Latn-BA"/>
        </w:rPr>
      </w:pPr>
      <w:r w:rsidRPr="00987DA0">
        <w:rPr>
          <w:lang w:val="sr-Latn-BA"/>
        </w:rPr>
        <w:lastRenderedPageBreak/>
        <w:t>Predsjednik Upravnog odbora</w:t>
      </w:r>
    </w:p>
    <w:p w14:paraId="36039855" w14:textId="77777777" w:rsidR="00D16E30" w:rsidRPr="00987DA0" w:rsidRDefault="00D16E30" w:rsidP="00D16E30">
      <w:pPr>
        <w:jc w:val="right"/>
        <w:rPr>
          <w:lang w:val="sr-Latn-BA"/>
        </w:rPr>
      </w:pPr>
      <w:r w:rsidRPr="00987DA0">
        <w:rPr>
          <w:lang w:val="sr-Latn-BA"/>
        </w:rPr>
        <w:t>______________________________</w:t>
      </w:r>
    </w:p>
    <w:p w14:paraId="42F7CF8B" w14:textId="7EEF398D" w:rsidR="00D16E30" w:rsidRPr="00987DA0" w:rsidRDefault="00E633DA" w:rsidP="00D16E30">
      <w:pPr>
        <w:jc w:val="right"/>
        <w:rPr>
          <w:lang w:val="sr-Latn-BA"/>
        </w:rPr>
      </w:pPr>
      <w:r w:rsidRPr="00987DA0">
        <w:rPr>
          <w:rFonts w:eastAsia="ArialNarrow,Bold"/>
          <w:bCs/>
          <w:color w:val="000000"/>
          <w:lang w:val="sr-Latn-BA"/>
        </w:rPr>
        <w:t>Zoran Najdanović</w:t>
      </w:r>
    </w:p>
    <w:p w14:paraId="37E1D918" w14:textId="3288787E" w:rsidR="00D16E30" w:rsidRPr="00987DA0" w:rsidRDefault="00D16E30" w:rsidP="00D16E30">
      <w:pPr>
        <w:autoSpaceDE w:val="0"/>
        <w:autoSpaceDN w:val="0"/>
        <w:adjustRightInd w:val="0"/>
        <w:rPr>
          <w:rFonts w:eastAsia="ArialNarrow"/>
          <w:color w:val="000000"/>
          <w:lang w:val="sr-Latn-BA"/>
        </w:rPr>
      </w:pPr>
      <w:r w:rsidRPr="00987DA0">
        <w:rPr>
          <w:rFonts w:eastAsia="ArialNarrow"/>
          <w:color w:val="000000"/>
          <w:lang w:val="sr-Latn-BA"/>
        </w:rPr>
        <w:t xml:space="preserve">Broj: </w:t>
      </w:r>
      <w:r w:rsidRPr="00987DA0">
        <w:t>UO.</w:t>
      </w:r>
      <w:r w:rsidR="001A7305">
        <w:t>30</w:t>
      </w:r>
      <w:r w:rsidR="00D463EE" w:rsidRPr="00987DA0">
        <w:t>/</w:t>
      </w:r>
      <w:r w:rsidR="00F00C15" w:rsidRPr="00987DA0">
        <w:t>2</w:t>
      </w:r>
      <w:r w:rsidR="003001C8" w:rsidRPr="00987DA0">
        <w:t>5</w:t>
      </w:r>
    </w:p>
    <w:p w14:paraId="6E524023" w14:textId="2B6792D7" w:rsidR="00D16E30" w:rsidRPr="00987DA0" w:rsidRDefault="00D16E30" w:rsidP="00D16E30">
      <w:pPr>
        <w:autoSpaceDE w:val="0"/>
        <w:autoSpaceDN w:val="0"/>
        <w:adjustRightInd w:val="0"/>
        <w:rPr>
          <w:rFonts w:eastAsia="ArialNarrow"/>
          <w:color w:val="000000"/>
          <w:lang w:val="sr-Latn-BA"/>
        </w:rPr>
      </w:pPr>
      <w:r w:rsidRPr="00987DA0">
        <w:rPr>
          <w:rFonts w:eastAsia="ArialNarrow"/>
          <w:color w:val="000000"/>
          <w:lang w:val="sr-Latn-BA"/>
        </w:rPr>
        <w:t xml:space="preserve">Datum: </w:t>
      </w:r>
      <w:r w:rsidR="00E633DA" w:rsidRPr="00987DA0">
        <w:rPr>
          <w:rFonts w:eastAsia="ArialNarrow"/>
          <w:color w:val="000000"/>
          <w:lang w:val="sr-Latn-BA"/>
        </w:rPr>
        <w:t>11</w:t>
      </w:r>
      <w:r w:rsidR="00433B80" w:rsidRPr="00987DA0">
        <w:rPr>
          <w:rFonts w:eastAsia="ArialNarrow"/>
          <w:color w:val="000000"/>
          <w:lang w:val="sr-Latn-BA"/>
        </w:rPr>
        <w:t>.04</w:t>
      </w:r>
      <w:r w:rsidR="00F00C15" w:rsidRPr="00987DA0">
        <w:rPr>
          <w:rFonts w:eastAsia="ArialNarrow"/>
          <w:color w:val="000000"/>
          <w:lang w:val="sr-Latn-BA"/>
        </w:rPr>
        <w:t>.202</w:t>
      </w:r>
      <w:r w:rsidR="00E633DA" w:rsidRPr="00987DA0">
        <w:rPr>
          <w:rFonts w:eastAsia="ArialNarrow"/>
          <w:color w:val="000000"/>
          <w:lang w:val="sr-Latn-BA"/>
        </w:rPr>
        <w:t>5</w:t>
      </w:r>
      <w:r w:rsidR="00BD3C55" w:rsidRPr="00987DA0">
        <w:rPr>
          <w:rFonts w:eastAsia="ArialNarrow"/>
          <w:color w:val="000000"/>
          <w:lang w:val="sr-Latn-BA"/>
        </w:rPr>
        <w:t>. godine</w:t>
      </w:r>
    </w:p>
    <w:p w14:paraId="6473776C" w14:textId="77777777" w:rsidR="00D16E30" w:rsidRPr="00987DA0" w:rsidRDefault="00D16E30" w:rsidP="00D16E30">
      <w:pPr>
        <w:autoSpaceDE w:val="0"/>
        <w:autoSpaceDN w:val="0"/>
        <w:adjustRightInd w:val="0"/>
        <w:rPr>
          <w:rFonts w:eastAsia="ArialNarrow"/>
          <w:color w:val="000000"/>
        </w:rPr>
      </w:pPr>
    </w:p>
    <w:p w14:paraId="3CB95C0D" w14:textId="77777777" w:rsidR="00D16E30" w:rsidRPr="00987DA0" w:rsidRDefault="00D16E30" w:rsidP="00D16E30">
      <w:pPr>
        <w:autoSpaceDE w:val="0"/>
        <w:autoSpaceDN w:val="0"/>
        <w:adjustRightInd w:val="0"/>
        <w:rPr>
          <w:rFonts w:eastAsia="ArialNarrow"/>
          <w:i/>
          <w:color w:val="000000"/>
          <w:lang w:val="sr-Latn-BA"/>
        </w:rPr>
      </w:pPr>
      <w:r w:rsidRPr="00987DA0">
        <w:rPr>
          <w:rFonts w:eastAsia="ArialNarrow"/>
          <w:i/>
          <w:color w:val="000000"/>
          <w:lang w:val="sr-Latn-BA"/>
        </w:rPr>
        <w:t>Dostaviti:</w:t>
      </w:r>
    </w:p>
    <w:p w14:paraId="2E0D3531" w14:textId="77777777" w:rsidR="00D16E30" w:rsidRPr="00987DA0" w:rsidRDefault="00D16E30" w:rsidP="00D16E30">
      <w:pPr>
        <w:pStyle w:val="ListParagraph"/>
        <w:numPr>
          <w:ilvl w:val="0"/>
          <w:numId w:val="10"/>
        </w:numPr>
        <w:autoSpaceDE w:val="0"/>
        <w:autoSpaceDN w:val="0"/>
        <w:adjustRightInd w:val="0"/>
        <w:spacing w:line="252" w:lineRule="auto"/>
        <w:jc w:val="left"/>
        <w:rPr>
          <w:rFonts w:ascii="Times New Roman" w:eastAsia="ArialNarrow" w:hAnsi="Times New Roman" w:cs="Times New Roman"/>
          <w:bCs/>
          <w:color w:val="000000"/>
        </w:rPr>
      </w:pPr>
      <w:r w:rsidRPr="00987DA0">
        <w:rPr>
          <w:rFonts w:ascii="Times New Roman" w:eastAsia="ArialNarrow" w:hAnsi="Times New Roman" w:cs="Times New Roman"/>
          <w:bCs/>
          <w:color w:val="000000"/>
        </w:rPr>
        <w:t xml:space="preserve">Skupštini Društva </w:t>
      </w:r>
    </w:p>
    <w:p w14:paraId="4BBE63CE" w14:textId="77777777" w:rsidR="00D16E30" w:rsidRPr="00987DA0" w:rsidRDefault="00D16E30" w:rsidP="00D16E30">
      <w:pPr>
        <w:pStyle w:val="ListParagraph"/>
        <w:numPr>
          <w:ilvl w:val="0"/>
          <w:numId w:val="10"/>
        </w:numPr>
        <w:autoSpaceDE w:val="0"/>
        <w:autoSpaceDN w:val="0"/>
        <w:adjustRightInd w:val="0"/>
        <w:spacing w:line="252" w:lineRule="auto"/>
        <w:jc w:val="left"/>
        <w:rPr>
          <w:rFonts w:ascii="Times New Roman" w:eastAsia="ArialNarrow" w:hAnsi="Times New Roman" w:cs="Times New Roman"/>
          <w:bCs/>
          <w:color w:val="000000"/>
        </w:rPr>
      </w:pPr>
      <w:r w:rsidRPr="00987DA0">
        <w:rPr>
          <w:rFonts w:ascii="Times New Roman" w:eastAsia="ArialNarrow" w:hAnsi="Times New Roman" w:cs="Times New Roman"/>
          <w:bCs/>
          <w:color w:val="000000"/>
        </w:rPr>
        <w:t>Direktoru društva</w:t>
      </w:r>
    </w:p>
    <w:p w14:paraId="6207A8DB" w14:textId="77777777" w:rsidR="00D16E30" w:rsidRPr="00987DA0" w:rsidRDefault="00D16E30" w:rsidP="00D16E30">
      <w:pPr>
        <w:pStyle w:val="ListParagraph"/>
        <w:numPr>
          <w:ilvl w:val="0"/>
          <w:numId w:val="10"/>
        </w:numPr>
        <w:autoSpaceDE w:val="0"/>
        <w:autoSpaceDN w:val="0"/>
        <w:adjustRightInd w:val="0"/>
        <w:spacing w:line="252" w:lineRule="auto"/>
        <w:jc w:val="left"/>
        <w:rPr>
          <w:rFonts w:ascii="Times New Roman" w:eastAsia="ArialNarrow" w:hAnsi="Times New Roman" w:cs="Times New Roman"/>
          <w:bCs/>
          <w:color w:val="000000"/>
        </w:rPr>
      </w:pPr>
      <w:r w:rsidRPr="00987DA0">
        <w:rPr>
          <w:rFonts w:ascii="Times New Roman" w:eastAsia="ArialNarrow" w:hAnsi="Times New Roman" w:cs="Times New Roman"/>
          <w:bCs/>
          <w:color w:val="000000"/>
        </w:rPr>
        <w:t>a/a</w:t>
      </w:r>
    </w:p>
    <w:p w14:paraId="5AE5BD49" w14:textId="77777777" w:rsidR="00D16E30" w:rsidRPr="00987DA0" w:rsidRDefault="00D16E30" w:rsidP="00D16E30">
      <w:pPr>
        <w:rPr>
          <w:bCs/>
        </w:rPr>
      </w:pPr>
    </w:p>
    <w:p w14:paraId="587A6A16" w14:textId="697F80E4" w:rsidR="00104CD2" w:rsidRPr="00987DA0" w:rsidRDefault="00104CD2" w:rsidP="00D16E30">
      <w:pPr>
        <w:pStyle w:val="BodyText"/>
        <w:rPr>
          <w:b/>
        </w:rPr>
      </w:pPr>
    </w:p>
    <w:sectPr w:rsidR="00104CD2" w:rsidRPr="00987DA0" w:rsidSect="00EF6C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F107" w14:textId="77777777" w:rsidR="008237D4" w:rsidRDefault="008237D4" w:rsidP="004E7CCA">
      <w:r>
        <w:separator/>
      </w:r>
    </w:p>
  </w:endnote>
  <w:endnote w:type="continuationSeparator" w:id="0">
    <w:p w14:paraId="0407E1BD" w14:textId="77777777" w:rsidR="008237D4" w:rsidRDefault="008237D4" w:rsidP="004E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Bold">
    <w:altName w:val="MS Mincho"/>
    <w:panose1 w:val="00000000000000000000"/>
    <w:charset w:val="80"/>
    <w:family w:val="auto"/>
    <w:notTrueType/>
    <w:pitch w:val="default"/>
    <w:sig w:usb0="00000000" w:usb1="08070000" w:usb2="00000010" w:usb3="00000000" w:csb0="00020000" w:csb1="00000000"/>
  </w:font>
  <w:font w:name="ArialNarrow">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ED493" w14:textId="77777777" w:rsidR="008237D4" w:rsidRDefault="008237D4" w:rsidP="004E7CCA">
      <w:r>
        <w:separator/>
      </w:r>
    </w:p>
  </w:footnote>
  <w:footnote w:type="continuationSeparator" w:id="0">
    <w:p w14:paraId="63740F31" w14:textId="77777777" w:rsidR="008237D4" w:rsidRDefault="008237D4" w:rsidP="004E7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A5DBD"/>
    <w:multiLevelType w:val="hybridMultilevel"/>
    <w:tmpl w:val="B0DEC40C"/>
    <w:lvl w:ilvl="0" w:tplc="0809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24271F45"/>
    <w:multiLevelType w:val="hybridMultilevel"/>
    <w:tmpl w:val="DA14A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8A2917"/>
    <w:multiLevelType w:val="hybridMultilevel"/>
    <w:tmpl w:val="45DA10DA"/>
    <w:lvl w:ilvl="0" w:tplc="39A27590">
      <w:start w:val="1"/>
      <w:numFmt w:val="decimal"/>
      <w:lvlText w:val="Član %1."/>
      <w:lvlJc w:val="left"/>
      <w:pPr>
        <w:ind w:left="720" w:hanging="360"/>
      </w:pPr>
      <w:rPr>
        <w:rFonts w:hint="default"/>
        <w:b/>
        <w:bCs/>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2A9D1010"/>
    <w:multiLevelType w:val="hybridMultilevel"/>
    <w:tmpl w:val="0BA642B8"/>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2B20298E"/>
    <w:multiLevelType w:val="hybridMultilevel"/>
    <w:tmpl w:val="DD50D964"/>
    <w:lvl w:ilvl="0" w:tplc="1DDE0D0A">
      <w:numFmt w:val="bullet"/>
      <w:lvlText w:val="-"/>
      <w:lvlJc w:val="left"/>
      <w:pPr>
        <w:ind w:left="1440" w:hanging="360"/>
      </w:pPr>
      <w:rPr>
        <w:rFonts w:ascii="Cambria" w:eastAsia="Times New Roman" w:hAnsi="Cambria" w:cs="Cambria"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5" w15:restartNumberingAfterBreak="0">
    <w:nsid w:val="312D59D7"/>
    <w:multiLevelType w:val="hybridMultilevel"/>
    <w:tmpl w:val="B6BE4422"/>
    <w:lvl w:ilvl="0" w:tplc="0809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318B70C0"/>
    <w:multiLevelType w:val="hybridMultilevel"/>
    <w:tmpl w:val="A3D6CA26"/>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15:restartNumberingAfterBreak="0">
    <w:nsid w:val="33075C40"/>
    <w:multiLevelType w:val="hybridMultilevel"/>
    <w:tmpl w:val="771C0BDE"/>
    <w:lvl w:ilvl="0" w:tplc="5BDA5626">
      <w:start w:val="1"/>
      <w:numFmt w:val="upperRoman"/>
      <w:lvlText w:val="%1"/>
      <w:lvlJc w:val="righ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34991586"/>
    <w:multiLevelType w:val="hybridMultilevel"/>
    <w:tmpl w:val="4BB26602"/>
    <w:lvl w:ilvl="0" w:tplc="D200F920">
      <w:start w:val="1"/>
      <w:numFmt w:val="decimal"/>
      <w:lvlText w:val="%1."/>
      <w:lvlJc w:val="left"/>
      <w:pPr>
        <w:ind w:left="644" w:hanging="360"/>
      </w:pPr>
      <w:rPr>
        <w:rFonts w:hint="default"/>
        <w:color w:val="FF0000"/>
      </w:rPr>
    </w:lvl>
    <w:lvl w:ilvl="1" w:tplc="181A0019" w:tentative="1">
      <w:start w:val="1"/>
      <w:numFmt w:val="lowerLetter"/>
      <w:lvlText w:val="%2."/>
      <w:lvlJc w:val="left"/>
      <w:pPr>
        <w:ind w:left="1364" w:hanging="360"/>
      </w:pPr>
    </w:lvl>
    <w:lvl w:ilvl="2" w:tplc="181A001B" w:tentative="1">
      <w:start w:val="1"/>
      <w:numFmt w:val="lowerRoman"/>
      <w:lvlText w:val="%3."/>
      <w:lvlJc w:val="right"/>
      <w:pPr>
        <w:ind w:left="2084" w:hanging="180"/>
      </w:pPr>
    </w:lvl>
    <w:lvl w:ilvl="3" w:tplc="181A000F" w:tentative="1">
      <w:start w:val="1"/>
      <w:numFmt w:val="decimal"/>
      <w:lvlText w:val="%4."/>
      <w:lvlJc w:val="left"/>
      <w:pPr>
        <w:ind w:left="2804" w:hanging="360"/>
      </w:pPr>
    </w:lvl>
    <w:lvl w:ilvl="4" w:tplc="181A0019" w:tentative="1">
      <w:start w:val="1"/>
      <w:numFmt w:val="lowerLetter"/>
      <w:lvlText w:val="%5."/>
      <w:lvlJc w:val="left"/>
      <w:pPr>
        <w:ind w:left="3524" w:hanging="360"/>
      </w:pPr>
    </w:lvl>
    <w:lvl w:ilvl="5" w:tplc="181A001B" w:tentative="1">
      <w:start w:val="1"/>
      <w:numFmt w:val="lowerRoman"/>
      <w:lvlText w:val="%6."/>
      <w:lvlJc w:val="right"/>
      <w:pPr>
        <w:ind w:left="4244" w:hanging="180"/>
      </w:pPr>
    </w:lvl>
    <w:lvl w:ilvl="6" w:tplc="181A000F" w:tentative="1">
      <w:start w:val="1"/>
      <w:numFmt w:val="decimal"/>
      <w:lvlText w:val="%7."/>
      <w:lvlJc w:val="left"/>
      <w:pPr>
        <w:ind w:left="4964" w:hanging="360"/>
      </w:pPr>
    </w:lvl>
    <w:lvl w:ilvl="7" w:tplc="181A0019" w:tentative="1">
      <w:start w:val="1"/>
      <w:numFmt w:val="lowerLetter"/>
      <w:lvlText w:val="%8."/>
      <w:lvlJc w:val="left"/>
      <w:pPr>
        <w:ind w:left="5684" w:hanging="360"/>
      </w:pPr>
    </w:lvl>
    <w:lvl w:ilvl="8" w:tplc="181A001B" w:tentative="1">
      <w:start w:val="1"/>
      <w:numFmt w:val="lowerRoman"/>
      <w:lvlText w:val="%9."/>
      <w:lvlJc w:val="right"/>
      <w:pPr>
        <w:ind w:left="6404" w:hanging="180"/>
      </w:pPr>
    </w:lvl>
  </w:abstractNum>
  <w:abstractNum w:abstractNumId="9" w15:restartNumberingAfterBreak="0">
    <w:nsid w:val="398617EC"/>
    <w:multiLevelType w:val="hybridMultilevel"/>
    <w:tmpl w:val="BF70A76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15:restartNumberingAfterBreak="0">
    <w:nsid w:val="3CC22988"/>
    <w:multiLevelType w:val="hybridMultilevel"/>
    <w:tmpl w:val="98C09F50"/>
    <w:lvl w:ilvl="0" w:tplc="643A6614">
      <w:start w:val="68"/>
      <w:numFmt w:val="bullet"/>
      <w:lvlText w:val="-"/>
      <w:lvlJc w:val="left"/>
      <w:pPr>
        <w:ind w:left="720" w:hanging="360"/>
      </w:pPr>
      <w:rPr>
        <w:rFonts w:ascii="Arial" w:eastAsia="Times New Roman" w:hAnsi="Arial" w:cs="Aria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F276A8B"/>
    <w:multiLevelType w:val="hybridMultilevel"/>
    <w:tmpl w:val="4300E19E"/>
    <w:lvl w:ilvl="0" w:tplc="181A0001">
      <w:start w:val="1"/>
      <w:numFmt w:val="bullet"/>
      <w:lvlText w:val=""/>
      <w:lvlJc w:val="left"/>
      <w:pPr>
        <w:ind w:left="780" w:hanging="360"/>
      </w:pPr>
      <w:rPr>
        <w:rFonts w:ascii="Symbol" w:hAnsi="Symbol" w:hint="default"/>
      </w:rPr>
    </w:lvl>
    <w:lvl w:ilvl="1" w:tplc="181A0003" w:tentative="1">
      <w:start w:val="1"/>
      <w:numFmt w:val="bullet"/>
      <w:lvlText w:val="o"/>
      <w:lvlJc w:val="left"/>
      <w:pPr>
        <w:ind w:left="1500" w:hanging="360"/>
      </w:pPr>
      <w:rPr>
        <w:rFonts w:ascii="Courier New" w:hAnsi="Courier New" w:cs="Courier New" w:hint="default"/>
      </w:rPr>
    </w:lvl>
    <w:lvl w:ilvl="2" w:tplc="181A0005" w:tentative="1">
      <w:start w:val="1"/>
      <w:numFmt w:val="bullet"/>
      <w:lvlText w:val=""/>
      <w:lvlJc w:val="left"/>
      <w:pPr>
        <w:ind w:left="2220" w:hanging="360"/>
      </w:pPr>
      <w:rPr>
        <w:rFonts w:ascii="Wingdings" w:hAnsi="Wingdings" w:hint="default"/>
      </w:rPr>
    </w:lvl>
    <w:lvl w:ilvl="3" w:tplc="181A0001" w:tentative="1">
      <w:start w:val="1"/>
      <w:numFmt w:val="bullet"/>
      <w:lvlText w:val=""/>
      <w:lvlJc w:val="left"/>
      <w:pPr>
        <w:ind w:left="2940" w:hanging="360"/>
      </w:pPr>
      <w:rPr>
        <w:rFonts w:ascii="Symbol" w:hAnsi="Symbol" w:hint="default"/>
      </w:rPr>
    </w:lvl>
    <w:lvl w:ilvl="4" w:tplc="181A0003" w:tentative="1">
      <w:start w:val="1"/>
      <w:numFmt w:val="bullet"/>
      <w:lvlText w:val="o"/>
      <w:lvlJc w:val="left"/>
      <w:pPr>
        <w:ind w:left="3660" w:hanging="360"/>
      </w:pPr>
      <w:rPr>
        <w:rFonts w:ascii="Courier New" w:hAnsi="Courier New" w:cs="Courier New" w:hint="default"/>
      </w:rPr>
    </w:lvl>
    <w:lvl w:ilvl="5" w:tplc="181A0005" w:tentative="1">
      <w:start w:val="1"/>
      <w:numFmt w:val="bullet"/>
      <w:lvlText w:val=""/>
      <w:lvlJc w:val="left"/>
      <w:pPr>
        <w:ind w:left="4380" w:hanging="360"/>
      </w:pPr>
      <w:rPr>
        <w:rFonts w:ascii="Wingdings" w:hAnsi="Wingdings" w:hint="default"/>
      </w:rPr>
    </w:lvl>
    <w:lvl w:ilvl="6" w:tplc="181A0001" w:tentative="1">
      <w:start w:val="1"/>
      <w:numFmt w:val="bullet"/>
      <w:lvlText w:val=""/>
      <w:lvlJc w:val="left"/>
      <w:pPr>
        <w:ind w:left="5100" w:hanging="360"/>
      </w:pPr>
      <w:rPr>
        <w:rFonts w:ascii="Symbol" w:hAnsi="Symbol" w:hint="default"/>
      </w:rPr>
    </w:lvl>
    <w:lvl w:ilvl="7" w:tplc="181A0003" w:tentative="1">
      <w:start w:val="1"/>
      <w:numFmt w:val="bullet"/>
      <w:lvlText w:val="o"/>
      <w:lvlJc w:val="left"/>
      <w:pPr>
        <w:ind w:left="5820" w:hanging="360"/>
      </w:pPr>
      <w:rPr>
        <w:rFonts w:ascii="Courier New" w:hAnsi="Courier New" w:cs="Courier New" w:hint="default"/>
      </w:rPr>
    </w:lvl>
    <w:lvl w:ilvl="8" w:tplc="181A0005" w:tentative="1">
      <w:start w:val="1"/>
      <w:numFmt w:val="bullet"/>
      <w:lvlText w:val=""/>
      <w:lvlJc w:val="left"/>
      <w:pPr>
        <w:ind w:left="6540" w:hanging="360"/>
      </w:pPr>
      <w:rPr>
        <w:rFonts w:ascii="Wingdings" w:hAnsi="Wingdings" w:hint="default"/>
      </w:rPr>
    </w:lvl>
  </w:abstractNum>
  <w:abstractNum w:abstractNumId="12" w15:restartNumberingAfterBreak="0">
    <w:nsid w:val="47932733"/>
    <w:multiLevelType w:val="hybridMultilevel"/>
    <w:tmpl w:val="A8BCB0F4"/>
    <w:lvl w:ilvl="0" w:tplc="711E1680">
      <w:numFmt w:val="bullet"/>
      <w:lvlText w:val="•"/>
      <w:lvlJc w:val="left"/>
      <w:pPr>
        <w:ind w:left="1070" w:hanging="710"/>
      </w:pPr>
      <w:rPr>
        <w:rFonts w:ascii="Arial" w:eastAsia="Times New Roman" w:hAnsi="Arial" w:cs="Aria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53FB0DA9"/>
    <w:multiLevelType w:val="hybridMultilevel"/>
    <w:tmpl w:val="591271C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4" w15:restartNumberingAfterBreak="0">
    <w:nsid w:val="653B4B7F"/>
    <w:multiLevelType w:val="hybridMultilevel"/>
    <w:tmpl w:val="182A43DA"/>
    <w:lvl w:ilvl="0" w:tplc="2E2A4590">
      <w:numFmt w:val="bullet"/>
      <w:lvlText w:val="-"/>
      <w:lvlJc w:val="left"/>
      <w:pPr>
        <w:ind w:left="1070" w:hanging="71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657B5FE4"/>
    <w:multiLevelType w:val="multilevel"/>
    <w:tmpl w:val="F37C71C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3D770E"/>
    <w:multiLevelType w:val="hybridMultilevel"/>
    <w:tmpl w:val="2610755C"/>
    <w:lvl w:ilvl="0" w:tplc="08090001">
      <w:start w:val="1"/>
      <w:numFmt w:val="bullet"/>
      <w:lvlText w:val=""/>
      <w:lvlJc w:val="left"/>
      <w:pPr>
        <w:ind w:left="720" w:hanging="360"/>
      </w:pPr>
      <w:rPr>
        <w:rFonts w:ascii="Symbol" w:hAnsi="Symbol"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16cid:durableId="845098128">
    <w:abstractNumId w:val="8"/>
  </w:num>
  <w:num w:numId="2" w16cid:durableId="329648020">
    <w:abstractNumId w:val="4"/>
  </w:num>
  <w:num w:numId="3" w16cid:durableId="836774829">
    <w:abstractNumId w:val="10"/>
  </w:num>
  <w:num w:numId="4" w16cid:durableId="1475370417">
    <w:abstractNumId w:val="3"/>
  </w:num>
  <w:num w:numId="5" w16cid:durableId="699474566">
    <w:abstractNumId w:val="15"/>
  </w:num>
  <w:num w:numId="6" w16cid:durableId="2073962959">
    <w:abstractNumId w:val="5"/>
  </w:num>
  <w:num w:numId="7" w16cid:durableId="1927837573">
    <w:abstractNumId w:val="16"/>
  </w:num>
  <w:num w:numId="8" w16cid:durableId="333726418">
    <w:abstractNumId w:val="0"/>
  </w:num>
  <w:num w:numId="9" w16cid:durableId="1606228861">
    <w:abstractNumId w:val="7"/>
  </w:num>
  <w:num w:numId="10" w16cid:durableId="727532122">
    <w:abstractNumId w:val="1"/>
  </w:num>
  <w:num w:numId="11" w16cid:durableId="551695420">
    <w:abstractNumId w:val="2"/>
  </w:num>
  <w:num w:numId="12" w16cid:durableId="298658434">
    <w:abstractNumId w:val="13"/>
  </w:num>
  <w:num w:numId="13" w16cid:durableId="2034456820">
    <w:abstractNumId w:val="9"/>
  </w:num>
  <w:num w:numId="14" w16cid:durableId="771627334">
    <w:abstractNumId w:val="12"/>
  </w:num>
  <w:num w:numId="15" w16cid:durableId="1822388249">
    <w:abstractNumId w:val="6"/>
  </w:num>
  <w:num w:numId="16" w16cid:durableId="294795711">
    <w:abstractNumId w:val="14"/>
  </w:num>
  <w:num w:numId="17" w16cid:durableId="7305428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73F0"/>
    <w:rsid w:val="00007F99"/>
    <w:rsid w:val="00020C83"/>
    <w:rsid w:val="000224E2"/>
    <w:rsid w:val="00045D04"/>
    <w:rsid w:val="000470C8"/>
    <w:rsid w:val="000574AC"/>
    <w:rsid w:val="00062E47"/>
    <w:rsid w:val="00064F1D"/>
    <w:rsid w:val="0007329A"/>
    <w:rsid w:val="00074100"/>
    <w:rsid w:val="0009219A"/>
    <w:rsid w:val="000A0937"/>
    <w:rsid w:val="000A0F16"/>
    <w:rsid w:val="000C7B45"/>
    <w:rsid w:val="000D0521"/>
    <w:rsid w:val="000D2B3C"/>
    <w:rsid w:val="000D6C6D"/>
    <w:rsid w:val="000E0DD3"/>
    <w:rsid w:val="000E3832"/>
    <w:rsid w:val="000F0362"/>
    <w:rsid w:val="000F53C4"/>
    <w:rsid w:val="00104CD2"/>
    <w:rsid w:val="00106FF2"/>
    <w:rsid w:val="00120D2E"/>
    <w:rsid w:val="00121938"/>
    <w:rsid w:val="001239E4"/>
    <w:rsid w:val="00145825"/>
    <w:rsid w:val="00146B30"/>
    <w:rsid w:val="00151052"/>
    <w:rsid w:val="00160B67"/>
    <w:rsid w:val="00161CD8"/>
    <w:rsid w:val="0017565B"/>
    <w:rsid w:val="001848A8"/>
    <w:rsid w:val="001A108A"/>
    <w:rsid w:val="001A7305"/>
    <w:rsid w:val="001C7EE4"/>
    <w:rsid w:val="001D0E73"/>
    <w:rsid w:val="001E03D0"/>
    <w:rsid w:val="001E74B4"/>
    <w:rsid w:val="001F26FB"/>
    <w:rsid w:val="0020224E"/>
    <w:rsid w:val="0022244C"/>
    <w:rsid w:val="00234BC0"/>
    <w:rsid w:val="00237449"/>
    <w:rsid w:val="002416C3"/>
    <w:rsid w:val="0024309A"/>
    <w:rsid w:val="002457EA"/>
    <w:rsid w:val="0025243E"/>
    <w:rsid w:val="0028044A"/>
    <w:rsid w:val="00285640"/>
    <w:rsid w:val="0029263A"/>
    <w:rsid w:val="002C5874"/>
    <w:rsid w:val="002C76E4"/>
    <w:rsid w:val="002D7D26"/>
    <w:rsid w:val="002E0877"/>
    <w:rsid w:val="002E73E9"/>
    <w:rsid w:val="002F0C34"/>
    <w:rsid w:val="003001C8"/>
    <w:rsid w:val="00301684"/>
    <w:rsid w:val="0030352B"/>
    <w:rsid w:val="0030516E"/>
    <w:rsid w:val="003171BA"/>
    <w:rsid w:val="00330C3F"/>
    <w:rsid w:val="00341362"/>
    <w:rsid w:val="00356E91"/>
    <w:rsid w:val="00362E85"/>
    <w:rsid w:val="003719BE"/>
    <w:rsid w:val="003B2222"/>
    <w:rsid w:val="003B7294"/>
    <w:rsid w:val="003C1687"/>
    <w:rsid w:val="003C7123"/>
    <w:rsid w:val="003D33C8"/>
    <w:rsid w:val="003D383D"/>
    <w:rsid w:val="003D6452"/>
    <w:rsid w:val="003D7D7A"/>
    <w:rsid w:val="003E1AE6"/>
    <w:rsid w:val="003F0103"/>
    <w:rsid w:val="004024D1"/>
    <w:rsid w:val="00402FFB"/>
    <w:rsid w:val="00406AC3"/>
    <w:rsid w:val="00410171"/>
    <w:rsid w:val="00417381"/>
    <w:rsid w:val="00422CE1"/>
    <w:rsid w:val="00433AFF"/>
    <w:rsid w:val="00433B80"/>
    <w:rsid w:val="00435204"/>
    <w:rsid w:val="00437BE4"/>
    <w:rsid w:val="0044234C"/>
    <w:rsid w:val="00442BC9"/>
    <w:rsid w:val="00443F21"/>
    <w:rsid w:val="00454766"/>
    <w:rsid w:val="00456B8F"/>
    <w:rsid w:val="00464F34"/>
    <w:rsid w:val="004806B1"/>
    <w:rsid w:val="004867A5"/>
    <w:rsid w:val="0049301F"/>
    <w:rsid w:val="00495DBE"/>
    <w:rsid w:val="004A479F"/>
    <w:rsid w:val="004B30EC"/>
    <w:rsid w:val="004C5F56"/>
    <w:rsid w:val="004D5291"/>
    <w:rsid w:val="004E6BC6"/>
    <w:rsid w:val="004E7CCA"/>
    <w:rsid w:val="004F3F70"/>
    <w:rsid w:val="004F5B2D"/>
    <w:rsid w:val="00500750"/>
    <w:rsid w:val="00501581"/>
    <w:rsid w:val="005118E9"/>
    <w:rsid w:val="005155A7"/>
    <w:rsid w:val="00535E6D"/>
    <w:rsid w:val="00554003"/>
    <w:rsid w:val="005573F0"/>
    <w:rsid w:val="0056375E"/>
    <w:rsid w:val="00563AE8"/>
    <w:rsid w:val="00577167"/>
    <w:rsid w:val="00595D38"/>
    <w:rsid w:val="005B0844"/>
    <w:rsid w:val="005B5002"/>
    <w:rsid w:val="005C66AC"/>
    <w:rsid w:val="005D7CB2"/>
    <w:rsid w:val="005F3C19"/>
    <w:rsid w:val="00602AB7"/>
    <w:rsid w:val="00606070"/>
    <w:rsid w:val="00621DD2"/>
    <w:rsid w:val="00622532"/>
    <w:rsid w:val="0062662F"/>
    <w:rsid w:val="006440B6"/>
    <w:rsid w:val="00660F71"/>
    <w:rsid w:val="006645F5"/>
    <w:rsid w:val="00667E8C"/>
    <w:rsid w:val="006860A9"/>
    <w:rsid w:val="00687190"/>
    <w:rsid w:val="00696EE9"/>
    <w:rsid w:val="006C57CD"/>
    <w:rsid w:val="006E798A"/>
    <w:rsid w:val="006F6A20"/>
    <w:rsid w:val="007216FB"/>
    <w:rsid w:val="00722B14"/>
    <w:rsid w:val="007257A2"/>
    <w:rsid w:val="007267B3"/>
    <w:rsid w:val="0073478B"/>
    <w:rsid w:val="007425B9"/>
    <w:rsid w:val="00743BBE"/>
    <w:rsid w:val="00751A11"/>
    <w:rsid w:val="00772814"/>
    <w:rsid w:val="00774F45"/>
    <w:rsid w:val="007772EC"/>
    <w:rsid w:val="00794D01"/>
    <w:rsid w:val="00795E6D"/>
    <w:rsid w:val="007B75D2"/>
    <w:rsid w:val="007C57EB"/>
    <w:rsid w:val="007E6481"/>
    <w:rsid w:val="0081270D"/>
    <w:rsid w:val="00813545"/>
    <w:rsid w:val="008139EC"/>
    <w:rsid w:val="008237D4"/>
    <w:rsid w:val="008376A2"/>
    <w:rsid w:val="0084051D"/>
    <w:rsid w:val="00842AE8"/>
    <w:rsid w:val="00850435"/>
    <w:rsid w:val="00862452"/>
    <w:rsid w:val="00862864"/>
    <w:rsid w:val="0087033C"/>
    <w:rsid w:val="0087087D"/>
    <w:rsid w:val="00872C8C"/>
    <w:rsid w:val="00877337"/>
    <w:rsid w:val="008909FE"/>
    <w:rsid w:val="00897C6B"/>
    <w:rsid w:val="008A06E5"/>
    <w:rsid w:val="008A1D21"/>
    <w:rsid w:val="008B2025"/>
    <w:rsid w:val="008B2AF4"/>
    <w:rsid w:val="008C4D41"/>
    <w:rsid w:val="008D1410"/>
    <w:rsid w:val="00902E00"/>
    <w:rsid w:val="00916417"/>
    <w:rsid w:val="0091658B"/>
    <w:rsid w:val="00920977"/>
    <w:rsid w:val="00923B13"/>
    <w:rsid w:val="00945F12"/>
    <w:rsid w:val="00946828"/>
    <w:rsid w:val="00947D00"/>
    <w:rsid w:val="009501D5"/>
    <w:rsid w:val="00954E57"/>
    <w:rsid w:val="0095512F"/>
    <w:rsid w:val="00974A0F"/>
    <w:rsid w:val="009765BB"/>
    <w:rsid w:val="00983CFA"/>
    <w:rsid w:val="00987DA0"/>
    <w:rsid w:val="00995C16"/>
    <w:rsid w:val="009A0B47"/>
    <w:rsid w:val="009B0898"/>
    <w:rsid w:val="009B0BB3"/>
    <w:rsid w:val="009C3B27"/>
    <w:rsid w:val="009C3F25"/>
    <w:rsid w:val="009D1934"/>
    <w:rsid w:val="009D23BC"/>
    <w:rsid w:val="009E346D"/>
    <w:rsid w:val="009F0BB3"/>
    <w:rsid w:val="00A074CC"/>
    <w:rsid w:val="00A17713"/>
    <w:rsid w:val="00A3008C"/>
    <w:rsid w:val="00A34A82"/>
    <w:rsid w:val="00A448F7"/>
    <w:rsid w:val="00A61464"/>
    <w:rsid w:val="00A63ADC"/>
    <w:rsid w:val="00A66506"/>
    <w:rsid w:val="00A753F3"/>
    <w:rsid w:val="00A864B0"/>
    <w:rsid w:val="00AA1734"/>
    <w:rsid w:val="00AB4040"/>
    <w:rsid w:val="00AC1F10"/>
    <w:rsid w:val="00AD48DF"/>
    <w:rsid w:val="00AE6B21"/>
    <w:rsid w:val="00AF6198"/>
    <w:rsid w:val="00B04E12"/>
    <w:rsid w:val="00B05B0F"/>
    <w:rsid w:val="00B07370"/>
    <w:rsid w:val="00B1497C"/>
    <w:rsid w:val="00B2442C"/>
    <w:rsid w:val="00B24957"/>
    <w:rsid w:val="00B42C59"/>
    <w:rsid w:val="00B55634"/>
    <w:rsid w:val="00B6546C"/>
    <w:rsid w:val="00B76514"/>
    <w:rsid w:val="00BA6829"/>
    <w:rsid w:val="00BA7A5F"/>
    <w:rsid w:val="00BB22EC"/>
    <w:rsid w:val="00BC28A3"/>
    <w:rsid w:val="00BD3C55"/>
    <w:rsid w:val="00BE72AE"/>
    <w:rsid w:val="00BF5BAF"/>
    <w:rsid w:val="00C02DE4"/>
    <w:rsid w:val="00C0779F"/>
    <w:rsid w:val="00C138AB"/>
    <w:rsid w:val="00C238CF"/>
    <w:rsid w:val="00C25515"/>
    <w:rsid w:val="00C349EB"/>
    <w:rsid w:val="00C3721E"/>
    <w:rsid w:val="00C45E73"/>
    <w:rsid w:val="00C519BB"/>
    <w:rsid w:val="00C533D1"/>
    <w:rsid w:val="00C81E14"/>
    <w:rsid w:val="00CB031F"/>
    <w:rsid w:val="00CB440A"/>
    <w:rsid w:val="00CC1137"/>
    <w:rsid w:val="00CC17FA"/>
    <w:rsid w:val="00CC4F3F"/>
    <w:rsid w:val="00CF301F"/>
    <w:rsid w:val="00CF564B"/>
    <w:rsid w:val="00D0102F"/>
    <w:rsid w:val="00D01265"/>
    <w:rsid w:val="00D1088D"/>
    <w:rsid w:val="00D16E30"/>
    <w:rsid w:val="00D22BA0"/>
    <w:rsid w:val="00D308B1"/>
    <w:rsid w:val="00D35609"/>
    <w:rsid w:val="00D463EE"/>
    <w:rsid w:val="00D516E0"/>
    <w:rsid w:val="00D560FE"/>
    <w:rsid w:val="00D60BD6"/>
    <w:rsid w:val="00D65D8A"/>
    <w:rsid w:val="00D80A15"/>
    <w:rsid w:val="00D8126D"/>
    <w:rsid w:val="00D875F1"/>
    <w:rsid w:val="00D93A9A"/>
    <w:rsid w:val="00DB16F0"/>
    <w:rsid w:val="00DC5FD2"/>
    <w:rsid w:val="00DE23A5"/>
    <w:rsid w:val="00DE47FB"/>
    <w:rsid w:val="00DF0425"/>
    <w:rsid w:val="00DF4FF5"/>
    <w:rsid w:val="00E10244"/>
    <w:rsid w:val="00E10380"/>
    <w:rsid w:val="00E17ABC"/>
    <w:rsid w:val="00E20178"/>
    <w:rsid w:val="00E2580D"/>
    <w:rsid w:val="00E37F1C"/>
    <w:rsid w:val="00E42DDA"/>
    <w:rsid w:val="00E633DA"/>
    <w:rsid w:val="00E6484A"/>
    <w:rsid w:val="00E70E87"/>
    <w:rsid w:val="00E83398"/>
    <w:rsid w:val="00E9128E"/>
    <w:rsid w:val="00E950A3"/>
    <w:rsid w:val="00EA5624"/>
    <w:rsid w:val="00EB1DEE"/>
    <w:rsid w:val="00EC54E4"/>
    <w:rsid w:val="00EC7247"/>
    <w:rsid w:val="00ED4875"/>
    <w:rsid w:val="00EE21A0"/>
    <w:rsid w:val="00EE6566"/>
    <w:rsid w:val="00EE6973"/>
    <w:rsid w:val="00EE7DF9"/>
    <w:rsid w:val="00EF4497"/>
    <w:rsid w:val="00EF6C9A"/>
    <w:rsid w:val="00F00C15"/>
    <w:rsid w:val="00F15E7C"/>
    <w:rsid w:val="00F262AC"/>
    <w:rsid w:val="00F27785"/>
    <w:rsid w:val="00F32A57"/>
    <w:rsid w:val="00F36CE3"/>
    <w:rsid w:val="00F40C3F"/>
    <w:rsid w:val="00F443CB"/>
    <w:rsid w:val="00F62425"/>
    <w:rsid w:val="00F70CE5"/>
    <w:rsid w:val="00F87252"/>
    <w:rsid w:val="00FB1D7B"/>
    <w:rsid w:val="00FB42C2"/>
    <w:rsid w:val="00FD2A3E"/>
    <w:rsid w:val="00FE0DC8"/>
    <w:rsid w:val="00FE33E4"/>
    <w:rsid w:val="00FE3C6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DB795"/>
  <w15:chartTrackingRefBased/>
  <w15:docId w15:val="{99D4273E-6417-4C00-8F29-0A380F1E8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3F0"/>
    <w:rPr>
      <w:rFonts w:ascii="Times New Roman" w:eastAsia="Times New Roman" w:hAnsi="Times New Roman" w:cs="Times New Roman"/>
      <w:sz w:val="24"/>
      <w:szCs w:val="24"/>
      <w:lang w:val="sr-Latn-CS" w:eastAsia="sr-Latn-CS"/>
    </w:rPr>
  </w:style>
  <w:style w:type="paragraph" w:styleId="Heading2">
    <w:name w:val="heading 2"/>
    <w:basedOn w:val="Normal"/>
    <w:next w:val="Normal"/>
    <w:link w:val="Heading2Char"/>
    <w:semiHidden/>
    <w:unhideWhenUsed/>
    <w:qFormat/>
    <w:rsid w:val="005573F0"/>
    <w:pPr>
      <w:keepNext/>
      <w:jc w:val="center"/>
      <w:outlineLvl w:val="1"/>
    </w:pPr>
    <w:rPr>
      <w:rFonts w:ascii="Arial" w:hAnsi="Arial" w:cs="Arial"/>
      <w:b/>
      <w:bCs/>
      <w:sz w:val="28"/>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semiHidden/>
    <w:rsid w:val="005573F0"/>
    <w:rPr>
      <w:rFonts w:eastAsia="Times New Roman"/>
      <w:b/>
      <w:bCs/>
      <w:sz w:val="28"/>
      <w:lang w:val="sl-SI"/>
    </w:rPr>
  </w:style>
  <w:style w:type="paragraph" w:styleId="BodyText2">
    <w:name w:val="Body Text 2"/>
    <w:basedOn w:val="Normal"/>
    <w:link w:val="BodyText2Char"/>
    <w:unhideWhenUsed/>
    <w:rsid w:val="005573F0"/>
    <w:pPr>
      <w:jc w:val="center"/>
    </w:pPr>
    <w:rPr>
      <w:rFonts w:ascii="Arial" w:hAnsi="Arial" w:cs="Arial"/>
      <w:b/>
      <w:bCs/>
      <w:sz w:val="26"/>
      <w:lang w:val="sl-SI" w:eastAsia="en-US"/>
    </w:rPr>
  </w:style>
  <w:style w:type="character" w:customStyle="1" w:styleId="BodyText2Char">
    <w:name w:val="Body Text 2 Char"/>
    <w:link w:val="BodyText2"/>
    <w:rsid w:val="005573F0"/>
    <w:rPr>
      <w:rFonts w:eastAsia="Times New Roman"/>
      <w:b/>
      <w:bCs/>
      <w:sz w:val="26"/>
      <w:lang w:val="sl-SI"/>
    </w:rPr>
  </w:style>
  <w:style w:type="paragraph" w:styleId="BodyText">
    <w:name w:val="Body Text"/>
    <w:basedOn w:val="Normal"/>
    <w:link w:val="BodyTextChar"/>
    <w:uiPriority w:val="99"/>
    <w:unhideWhenUsed/>
    <w:rsid w:val="005573F0"/>
    <w:pPr>
      <w:spacing w:after="120"/>
    </w:pPr>
  </w:style>
  <w:style w:type="character" w:customStyle="1" w:styleId="BodyTextChar">
    <w:name w:val="Body Text Char"/>
    <w:link w:val="BodyText"/>
    <w:uiPriority w:val="99"/>
    <w:rsid w:val="005573F0"/>
    <w:rPr>
      <w:rFonts w:ascii="Times New Roman" w:eastAsia="Times New Roman" w:hAnsi="Times New Roman" w:cs="Times New Roman"/>
      <w:lang w:val="sr-Latn-CS" w:eastAsia="sr-Latn-CS"/>
    </w:rPr>
  </w:style>
  <w:style w:type="paragraph" w:styleId="Header">
    <w:name w:val="header"/>
    <w:basedOn w:val="Normal"/>
    <w:link w:val="HeaderChar"/>
    <w:uiPriority w:val="99"/>
    <w:unhideWhenUsed/>
    <w:rsid w:val="005573F0"/>
    <w:pPr>
      <w:tabs>
        <w:tab w:val="center" w:pos="4536"/>
        <w:tab w:val="right" w:pos="9072"/>
      </w:tabs>
    </w:pPr>
  </w:style>
  <w:style w:type="character" w:customStyle="1" w:styleId="HeaderChar">
    <w:name w:val="Header Char"/>
    <w:link w:val="Header"/>
    <w:uiPriority w:val="99"/>
    <w:rsid w:val="005573F0"/>
    <w:rPr>
      <w:rFonts w:ascii="Times New Roman" w:eastAsia="Times New Roman" w:hAnsi="Times New Roman" w:cs="Times New Roman"/>
      <w:lang w:val="sr-Latn-CS" w:eastAsia="sr-Latn-CS"/>
    </w:rPr>
  </w:style>
  <w:style w:type="paragraph" w:styleId="Footer">
    <w:name w:val="footer"/>
    <w:basedOn w:val="Normal"/>
    <w:link w:val="FooterChar"/>
    <w:uiPriority w:val="99"/>
    <w:semiHidden/>
    <w:unhideWhenUsed/>
    <w:rsid w:val="005573F0"/>
    <w:pPr>
      <w:tabs>
        <w:tab w:val="center" w:pos="4536"/>
        <w:tab w:val="right" w:pos="9072"/>
      </w:tabs>
    </w:pPr>
  </w:style>
  <w:style w:type="character" w:customStyle="1" w:styleId="FooterChar">
    <w:name w:val="Footer Char"/>
    <w:link w:val="Footer"/>
    <w:uiPriority w:val="99"/>
    <w:semiHidden/>
    <w:rsid w:val="005573F0"/>
    <w:rPr>
      <w:rFonts w:ascii="Times New Roman" w:eastAsia="Times New Roman" w:hAnsi="Times New Roman" w:cs="Times New Roman"/>
      <w:lang w:val="sr-Latn-CS" w:eastAsia="sr-Latn-CS"/>
    </w:rPr>
  </w:style>
  <w:style w:type="paragraph" w:styleId="ListParagraph">
    <w:name w:val="List Paragraph"/>
    <w:basedOn w:val="Normal"/>
    <w:uiPriority w:val="34"/>
    <w:qFormat/>
    <w:rsid w:val="00E2580D"/>
    <w:pPr>
      <w:ind w:left="720"/>
      <w:contextualSpacing/>
      <w:jc w:val="both"/>
    </w:pPr>
    <w:rPr>
      <w:rFonts w:ascii="Arial" w:eastAsia="Calibri" w:hAnsi="Arial" w:cs="Arial"/>
      <w:lang w:val="sr-Latn-BA" w:eastAsia="en-US"/>
    </w:rPr>
  </w:style>
  <w:style w:type="character" w:styleId="Hyperlink">
    <w:name w:val="Hyperlink"/>
    <w:uiPriority w:val="99"/>
    <w:semiHidden/>
    <w:unhideWhenUsed/>
    <w:rsid w:val="0029263A"/>
    <w:rPr>
      <w:color w:val="0000FF"/>
      <w:u w:val="single"/>
    </w:rPr>
  </w:style>
  <w:style w:type="character" w:customStyle="1" w:styleId="bpheader">
    <w:name w:val="bpheader"/>
    <w:basedOn w:val="DefaultParagraphFont"/>
    <w:rsid w:val="00595D38"/>
  </w:style>
  <w:style w:type="character" w:customStyle="1" w:styleId="Bodytext20">
    <w:name w:val="Body text (2)_"/>
    <w:link w:val="Bodytext21"/>
    <w:rsid w:val="00341362"/>
    <w:rPr>
      <w:rFonts w:ascii="Times New Roman" w:eastAsia="Times New Roman" w:hAnsi="Times New Roman" w:cs="Times New Roman"/>
      <w:shd w:val="clear" w:color="auto" w:fill="FFFFFF"/>
    </w:rPr>
  </w:style>
  <w:style w:type="character" w:customStyle="1" w:styleId="Bodytext8">
    <w:name w:val="Body text (8)_"/>
    <w:rsid w:val="00341362"/>
    <w:rPr>
      <w:rFonts w:ascii="Times New Roman" w:eastAsia="Times New Roman" w:hAnsi="Times New Roman" w:cs="Times New Roman"/>
      <w:b w:val="0"/>
      <w:bCs w:val="0"/>
      <w:i w:val="0"/>
      <w:iCs w:val="0"/>
      <w:smallCaps w:val="0"/>
      <w:strike w:val="0"/>
      <w:spacing w:val="0"/>
      <w:u w:val="none"/>
    </w:rPr>
  </w:style>
  <w:style w:type="character" w:customStyle="1" w:styleId="Bodytext815ptSpacing0pt">
    <w:name w:val="Body text (8) + 15 pt;Spacing 0 pt"/>
    <w:rsid w:val="00341362"/>
    <w:rPr>
      <w:rFonts w:ascii="Times New Roman" w:eastAsia="Times New Roman" w:hAnsi="Times New Roman" w:cs="Times New Roman"/>
      <w:b w:val="0"/>
      <w:bCs w:val="0"/>
      <w:i w:val="0"/>
      <w:iCs w:val="0"/>
      <w:smallCaps w:val="0"/>
      <w:strike w:val="0"/>
      <w:color w:val="000000"/>
      <w:spacing w:val="-10"/>
      <w:w w:val="100"/>
      <w:position w:val="0"/>
      <w:sz w:val="30"/>
      <w:szCs w:val="30"/>
      <w:u w:val="none"/>
    </w:rPr>
  </w:style>
  <w:style w:type="character" w:customStyle="1" w:styleId="Bodytext80">
    <w:name w:val="Body text (8)"/>
    <w:rsid w:val="00341362"/>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Bodytext215ptSpacing0pt">
    <w:name w:val="Body text (2) + 15 pt;Spacing 0 pt"/>
    <w:rsid w:val="00341362"/>
    <w:rPr>
      <w:rFonts w:ascii="Times New Roman" w:eastAsia="Times New Roman" w:hAnsi="Times New Roman" w:cs="Times New Roman"/>
      <w:b w:val="0"/>
      <w:bCs w:val="0"/>
      <w:i w:val="0"/>
      <w:iCs w:val="0"/>
      <w:smallCaps w:val="0"/>
      <w:strike w:val="0"/>
      <w:color w:val="000000"/>
      <w:spacing w:val="-10"/>
      <w:w w:val="100"/>
      <w:position w:val="0"/>
      <w:sz w:val="30"/>
      <w:szCs w:val="30"/>
      <w:u w:val="none"/>
    </w:rPr>
  </w:style>
  <w:style w:type="paragraph" w:customStyle="1" w:styleId="Bodytext21">
    <w:name w:val="Body text (2)"/>
    <w:basedOn w:val="Normal"/>
    <w:link w:val="Bodytext20"/>
    <w:rsid w:val="00341362"/>
    <w:pPr>
      <w:widowControl w:val="0"/>
      <w:shd w:val="clear" w:color="auto" w:fill="FFFFFF"/>
      <w:spacing w:line="274" w:lineRule="exact"/>
      <w:ind w:hanging="2020"/>
      <w:jc w:val="both"/>
    </w:pPr>
    <w:rPr>
      <w:sz w:val="20"/>
      <w:szCs w:val="20"/>
      <w:lang w:val="sr-Latn-BA" w:eastAsia="sr-Latn-BA"/>
    </w:rPr>
  </w:style>
  <w:style w:type="paragraph" w:styleId="BalloonText">
    <w:name w:val="Balloon Text"/>
    <w:basedOn w:val="Normal"/>
    <w:link w:val="BalloonTextChar"/>
    <w:uiPriority w:val="99"/>
    <w:semiHidden/>
    <w:unhideWhenUsed/>
    <w:rsid w:val="00B07370"/>
    <w:rPr>
      <w:rFonts w:ascii="Segoe UI" w:hAnsi="Segoe UI" w:cs="Segoe UI"/>
      <w:sz w:val="18"/>
      <w:szCs w:val="18"/>
    </w:rPr>
  </w:style>
  <w:style w:type="character" w:customStyle="1" w:styleId="BalloonTextChar">
    <w:name w:val="Balloon Text Char"/>
    <w:link w:val="BalloonText"/>
    <w:uiPriority w:val="99"/>
    <w:semiHidden/>
    <w:rsid w:val="00B07370"/>
    <w:rPr>
      <w:rFonts w:ascii="Segoe UI" w:eastAsia="Times New Roman" w:hAnsi="Segoe UI" w:cs="Segoe UI"/>
      <w:sz w:val="18"/>
      <w:szCs w:val="18"/>
      <w:lang w:val="sr-Latn-CS" w:eastAsia="sr-Latn-CS"/>
    </w:rPr>
  </w:style>
  <w:style w:type="paragraph" w:styleId="NormalWeb">
    <w:name w:val="Normal (Web)"/>
    <w:basedOn w:val="Normal"/>
    <w:uiPriority w:val="99"/>
    <w:unhideWhenUsed/>
    <w:rsid w:val="00D463EE"/>
    <w:pPr>
      <w:spacing w:before="100" w:beforeAutospacing="1" w:after="100" w:afterAutospacing="1"/>
    </w:pPr>
    <w:rPr>
      <w:lang w:val="sr-Latn-BA" w:eastAsia="sr-Latn-BA"/>
    </w:rPr>
  </w:style>
  <w:style w:type="paragraph" w:styleId="Revision">
    <w:name w:val="Revision"/>
    <w:hidden/>
    <w:uiPriority w:val="99"/>
    <w:semiHidden/>
    <w:rsid w:val="00E37F1C"/>
    <w:rPr>
      <w:rFonts w:ascii="Times New Roman" w:eastAsia="Times New Roman" w:hAnsi="Times New Roman" w:cs="Times New Roman"/>
      <w:sz w:val="24"/>
      <w:szCs w:val="24"/>
      <w:lang w:val="sr-Latn-CS" w:eastAsia="sr-Latn-CS"/>
    </w:rPr>
  </w:style>
  <w:style w:type="character" w:styleId="CommentReference">
    <w:name w:val="annotation reference"/>
    <w:uiPriority w:val="99"/>
    <w:semiHidden/>
    <w:unhideWhenUsed/>
    <w:rsid w:val="00987DA0"/>
    <w:rPr>
      <w:sz w:val="16"/>
      <w:szCs w:val="16"/>
    </w:rPr>
  </w:style>
  <w:style w:type="paragraph" w:styleId="CommentText">
    <w:name w:val="annotation text"/>
    <w:basedOn w:val="Normal"/>
    <w:link w:val="CommentTextChar"/>
    <w:uiPriority w:val="99"/>
    <w:unhideWhenUsed/>
    <w:rsid w:val="00987DA0"/>
    <w:rPr>
      <w:sz w:val="20"/>
      <w:szCs w:val="20"/>
      <w:lang w:val="en-US" w:eastAsia="en-US"/>
    </w:rPr>
  </w:style>
  <w:style w:type="character" w:customStyle="1" w:styleId="CommentTextChar">
    <w:name w:val="Comment Text Char"/>
    <w:link w:val="CommentText"/>
    <w:uiPriority w:val="99"/>
    <w:rsid w:val="00987DA0"/>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69393">
      <w:bodyDiv w:val="1"/>
      <w:marLeft w:val="0"/>
      <w:marRight w:val="0"/>
      <w:marTop w:val="0"/>
      <w:marBottom w:val="0"/>
      <w:divBdr>
        <w:top w:val="none" w:sz="0" w:space="0" w:color="auto"/>
        <w:left w:val="none" w:sz="0" w:space="0" w:color="auto"/>
        <w:bottom w:val="none" w:sz="0" w:space="0" w:color="auto"/>
        <w:right w:val="none" w:sz="0" w:space="0" w:color="auto"/>
      </w:divBdr>
    </w:div>
    <w:div w:id="853572278">
      <w:bodyDiv w:val="1"/>
      <w:marLeft w:val="0"/>
      <w:marRight w:val="0"/>
      <w:marTop w:val="0"/>
      <w:marBottom w:val="0"/>
      <w:divBdr>
        <w:top w:val="none" w:sz="0" w:space="0" w:color="auto"/>
        <w:left w:val="none" w:sz="0" w:space="0" w:color="auto"/>
        <w:bottom w:val="none" w:sz="0" w:space="0" w:color="auto"/>
        <w:right w:val="none" w:sz="0" w:space="0" w:color="auto"/>
      </w:divBdr>
    </w:div>
    <w:div w:id="863251820">
      <w:bodyDiv w:val="1"/>
      <w:marLeft w:val="0"/>
      <w:marRight w:val="0"/>
      <w:marTop w:val="0"/>
      <w:marBottom w:val="0"/>
      <w:divBdr>
        <w:top w:val="none" w:sz="0" w:space="0" w:color="auto"/>
        <w:left w:val="none" w:sz="0" w:space="0" w:color="auto"/>
        <w:bottom w:val="none" w:sz="0" w:space="0" w:color="auto"/>
        <w:right w:val="none" w:sz="0" w:space="0" w:color="auto"/>
      </w:divBdr>
    </w:div>
    <w:div w:id="1613050471">
      <w:bodyDiv w:val="1"/>
      <w:marLeft w:val="0"/>
      <w:marRight w:val="0"/>
      <w:marTop w:val="0"/>
      <w:marBottom w:val="0"/>
      <w:divBdr>
        <w:top w:val="none" w:sz="0" w:space="0" w:color="auto"/>
        <w:left w:val="none" w:sz="0" w:space="0" w:color="auto"/>
        <w:bottom w:val="none" w:sz="0" w:space="0" w:color="auto"/>
        <w:right w:val="none" w:sz="0" w:space="0" w:color="auto"/>
      </w:divBdr>
    </w:div>
    <w:div w:id="175442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907C3-C6D5-401A-801E-65F337EB5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1421</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korisnici2</cp:lastModifiedBy>
  <cp:revision>78</cp:revision>
  <cp:lastPrinted>2021-11-23T07:58:00Z</cp:lastPrinted>
  <dcterms:created xsi:type="dcterms:W3CDTF">2020-01-27T13:41:00Z</dcterms:created>
  <dcterms:modified xsi:type="dcterms:W3CDTF">2025-04-04T12:32:00Z</dcterms:modified>
</cp:coreProperties>
</file>